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55"/>
        <w:gridCol w:w="7654"/>
      </w:tblGrid>
      <w:tr w:rsidR="003F43EC" w:rsidRPr="00676303" w14:paraId="052F5A89" w14:textId="77777777" w:rsidTr="005B2359">
        <w:tc>
          <w:tcPr>
            <w:tcW w:w="9209" w:type="dxa"/>
            <w:gridSpan w:val="2"/>
            <w:shd w:val="clear" w:color="auto" w:fill="D9E2F3" w:themeFill="accent1" w:themeFillTint="33"/>
          </w:tcPr>
          <w:p w14:paraId="20D4222A" w14:textId="77777777" w:rsidR="003F43EC" w:rsidRPr="00676303" w:rsidRDefault="003F43EC" w:rsidP="005B2359">
            <w:pPr>
              <w:spacing w:after="0" w:line="20" w:lineRule="atLeast"/>
              <w:jc w:val="center"/>
              <w:rPr>
                <w:rFonts w:asciiTheme="minorHAnsi" w:hAnsiTheme="minorHAnsi" w:cstheme="minorHAnsi"/>
                <w:b/>
                <w:i/>
                <w:color w:val="000000" w:themeColor="text1"/>
                <w:sz w:val="20"/>
                <w:szCs w:val="20"/>
                <w:highlight w:val="yellow"/>
                <w:lang w:val="en-US"/>
              </w:rPr>
            </w:pPr>
            <w:r w:rsidRPr="00676303">
              <w:rPr>
                <w:rFonts w:asciiTheme="minorHAnsi" w:hAnsiTheme="minorHAnsi" w:cstheme="minorHAnsi"/>
                <w:b/>
                <w:i/>
                <w:color w:val="000000" w:themeColor="text1"/>
                <w:sz w:val="20"/>
                <w:szCs w:val="20"/>
                <w:lang w:val="en-US"/>
              </w:rPr>
              <w:t xml:space="preserve">Lesson Plan </w:t>
            </w:r>
          </w:p>
        </w:tc>
      </w:tr>
      <w:tr w:rsidR="003F43EC" w:rsidRPr="00676303" w14:paraId="2F885C24" w14:textId="77777777" w:rsidTr="005B2359">
        <w:tc>
          <w:tcPr>
            <w:tcW w:w="1555" w:type="dxa"/>
            <w:shd w:val="clear" w:color="auto" w:fill="D9E2F3" w:themeFill="accent1" w:themeFillTint="33"/>
          </w:tcPr>
          <w:p w14:paraId="04B0F2DE" w14:textId="77777777" w:rsidR="003F43EC" w:rsidRPr="00676303" w:rsidRDefault="003F43EC" w:rsidP="005B2359">
            <w:pPr>
              <w:spacing w:after="0" w:line="20" w:lineRule="atLeast"/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  <w:highlight w:val="yellow"/>
                <w:lang w:val="en-US"/>
              </w:rPr>
            </w:pPr>
            <w:r w:rsidRPr="00676303"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  <w:lang w:val="en-US"/>
              </w:rPr>
              <w:t>Teaching Unit</w:t>
            </w:r>
          </w:p>
        </w:tc>
        <w:tc>
          <w:tcPr>
            <w:tcW w:w="7654" w:type="dxa"/>
            <w:shd w:val="clear" w:color="auto" w:fill="auto"/>
          </w:tcPr>
          <w:p w14:paraId="1361F1DD" w14:textId="79C0EB0B" w:rsidR="003F43EC" w:rsidRPr="00676303" w:rsidRDefault="003F43EC" w:rsidP="005B2359">
            <w:pPr>
              <w:spacing w:after="0" w:line="20" w:lineRule="atLeast"/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en-US"/>
              </w:rPr>
            </w:pPr>
            <w:r w:rsidRPr="00676303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en-US"/>
              </w:rPr>
              <w:t xml:space="preserve">Ethical &amp;Legal Issues </w:t>
            </w:r>
          </w:p>
        </w:tc>
      </w:tr>
      <w:tr w:rsidR="003F43EC" w:rsidRPr="00676303" w14:paraId="19297651" w14:textId="77777777" w:rsidTr="005B2359">
        <w:tc>
          <w:tcPr>
            <w:tcW w:w="1555" w:type="dxa"/>
            <w:shd w:val="clear" w:color="auto" w:fill="D9E2F3" w:themeFill="accent1" w:themeFillTint="33"/>
          </w:tcPr>
          <w:p w14:paraId="1D43950A" w14:textId="77777777" w:rsidR="003F43EC" w:rsidRPr="00676303" w:rsidRDefault="003F43EC" w:rsidP="005B2359">
            <w:pPr>
              <w:spacing w:after="0" w:line="20" w:lineRule="atLeast"/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  <w:lang w:val="en-US"/>
              </w:rPr>
            </w:pPr>
            <w:r w:rsidRPr="00676303"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  <w:lang w:val="en-US"/>
              </w:rPr>
              <w:t>Title</w:t>
            </w:r>
          </w:p>
        </w:tc>
        <w:tc>
          <w:tcPr>
            <w:tcW w:w="7654" w:type="dxa"/>
            <w:shd w:val="clear" w:color="auto" w:fill="auto"/>
          </w:tcPr>
          <w:p w14:paraId="44B970CE" w14:textId="77777777" w:rsidR="003F43EC" w:rsidRPr="00676303" w:rsidRDefault="003F43EC" w:rsidP="005B2359">
            <w:pPr>
              <w:spacing w:after="0" w:line="20" w:lineRule="atLeast"/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  <w:lang w:val="en-US"/>
              </w:rPr>
            </w:pPr>
            <w:r w:rsidRPr="00676303">
              <w:rPr>
                <w:rFonts w:asciiTheme="minorHAnsi" w:eastAsia="Times New Roman" w:hAnsiTheme="minorHAnsi" w:cstheme="minorHAnsi"/>
                <w:b/>
                <w:bCs/>
                <w:color w:val="000000" w:themeColor="text1"/>
                <w:sz w:val="20"/>
                <w:szCs w:val="20"/>
                <w:lang w:val="en-US" w:eastAsia="en-GB"/>
              </w:rPr>
              <w:t>Palliative care sedation, physician assisted suicide and euthanasia</w:t>
            </w:r>
          </w:p>
        </w:tc>
      </w:tr>
      <w:tr w:rsidR="003F43EC" w:rsidRPr="00676303" w14:paraId="2EB97C18" w14:textId="77777777" w:rsidTr="005B2359">
        <w:tc>
          <w:tcPr>
            <w:tcW w:w="1555" w:type="dxa"/>
            <w:shd w:val="clear" w:color="auto" w:fill="D9E2F3" w:themeFill="accent1" w:themeFillTint="33"/>
          </w:tcPr>
          <w:p w14:paraId="66ACAEFB" w14:textId="77777777" w:rsidR="003F43EC" w:rsidRPr="00676303" w:rsidRDefault="003F43EC" w:rsidP="005B2359">
            <w:pPr>
              <w:spacing w:after="0" w:line="20" w:lineRule="atLeast"/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  <w:highlight w:val="yellow"/>
                <w:lang w:val="en-US"/>
              </w:rPr>
            </w:pPr>
            <w:r w:rsidRPr="00676303"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  <w:lang w:val="en-US"/>
              </w:rPr>
              <w:t xml:space="preserve">Learning Outcome </w:t>
            </w:r>
          </w:p>
        </w:tc>
        <w:tc>
          <w:tcPr>
            <w:tcW w:w="7654" w:type="dxa"/>
            <w:shd w:val="clear" w:color="auto" w:fill="auto"/>
          </w:tcPr>
          <w:p w14:paraId="09C1BDCF" w14:textId="77777777" w:rsidR="003F43EC" w:rsidRPr="00676303" w:rsidRDefault="003F43EC" w:rsidP="005B2359">
            <w:pPr>
              <w:spacing w:after="0" w:line="20" w:lineRule="atLeast"/>
              <w:rPr>
                <w:rFonts w:asciiTheme="minorHAnsi" w:eastAsia="Times New Roman" w:hAnsiTheme="minorHAnsi" w:cstheme="minorHAnsi"/>
                <w:bCs/>
                <w:color w:val="000000" w:themeColor="text1"/>
                <w:sz w:val="20"/>
                <w:szCs w:val="20"/>
                <w:lang w:val="en-US" w:eastAsia="en-GB"/>
              </w:rPr>
            </w:pPr>
            <w:r w:rsidRPr="00676303">
              <w:rPr>
                <w:rFonts w:asciiTheme="minorHAnsi" w:eastAsia="Times New Roman" w:hAnsiTheme="minorHAnsi" w:cstheme="minorHAnsi"/>
                <w:bCs/>
                <w:color w:val="000000" w:themeColor="text1"/>
                <w:sz w:val="20"/>
                <w:szCs w:val="20"/>
                <w:lang w:val="en-US" w:eastAsia="en-GB"/>
              </w:rPr>
              <w:t xml:space="preserve">Critically evaluate why palliative care is a human right. </w:t>
            </w:r>
          </w:p>
          <w:p w14:paraId="689B73E1" w14:textId="77777777" w:rsidR="003F43EC" w:rsidRPr="00676303" w:rsidRDefault="003F43EC" w:rsidP="005B2359">
            <w:pPr>
              <w:spacing w:after="0" w:line="20" w:lineRule="atLeast"/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en-US"/>
              </w:rPr>
            </w:pPr>
          </w:p>
        </w:tc>
      </w:tr>
      <w:tr w:rsidR="003F43EC" w:rsidRPr="00676303" w14:paraId="1A48169B" w14:textId="77777777" w:rsidTr="005B2359">
        <w:tc>
          <w:tcPr>
            <w:tcW w:w="1555" w:type="dxa"/>
            <w:shd w:val="clear" w:color="auto" w:fill="D9E2F3" w:themeFill="accent1" w:themeFillTint="33"/>
          </w:tcPr>
          <w:p w14:paraId="1CDA7A24" w14:textId="77777777" w:rsidR="003F43EC" w:rsidRPr="00676303" w:rsidRDefault="003F43EC" w:rsidP="005B2359">
            <w:pPr>
              <w:spacing w:after="0" w:line="20" w:lineRule="atLeast"/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  <w:highlight w:val="yellow"/>
                <w:lang w:val="en-US"/>
              </w:rPr>
            </w:pPr>
            <w:r w:rsidRPr="00676303"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  <w:lang w:val="en-US"/>
              </w:rPr>
              <w:t xml:space="preserve">Summary </w:t>
            </w:r>
          </w:p>
        </w:tc>
        <w:tc>
          <w:tcPr>
            <w:tcW w:w="7654" w:type="dxa"/>
            <w:shd w:val="clear" w:color="auto" w:fill="auto"/>
          </w:tcPr>
          <w:p w14:paraId="048C6D41" w14:textId="4153DE00" w:rsidR="003F43EC" w:rsidRPr="00676303" w:rsidRDefault="003F43EC" w:rsidP="005B2359">
            <w:pPr>
              <w:spacing w:after="0" w:line="20" w:lineRule="atLeast"/>
              <w:jc w:val="both"/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highlight w:val="yellow"/>
                <w:lang w:val="en-US"/>
              </w:rPr>
            </w:pPr>
            <w:r w:rsidRPr="00676303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en-US"/>
              </w:rPr>
              <w:t xml:space="preserve">By the end of course, students should be able to understand the ethical dilemmas and ethical behavior related to </w:t>
            </w:r>
            <w:r w:rsidRPr="00676303">
              <w:rPr>
                <w:rFonts w:asciiTheme="minorHAnsi" w:eastAsia="Times New Roman" w:hAnsiTheme="minorHAnsi" w:cstheme="minorHAnsi"/>
                <w:bCs/>
                <w:color w:val="000000" w:themeColor="text1"/>
                <w:sz w:val="20"/>
                <w:szCs w:val="20"/>
                <w:lang w:val="en-US" w:eastAsia="en-GB"/>
              </w:rPr>
              <w:t>Palliative care, physician assisted suicide and euthanasia</w:t>
            </w:r>
            <w:r w:rsidRPr="00676303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en-US"/>
              </w:rPr>
              <w:t>, how to c</w:t>
            </w:r>
            <w:r w:rsidRPr="00676303">
              <w:rPr>
                <w:rFonts w:asciiTheme="minorHAnsi" w:hAnsiTheme="minorHAnsi" w:cstheme="minorHAnsi"/>
                <w:iCs/>
                <w:color w:val="000000" w:themeColor="text1"/>
                <w:sz w:val="20"/>
                <w:szCs w:val="20"/>
                <w:lang w:val="en-US"/>
              </w:rPr>
              <w:t>ritically evaluate why palliative care is a human right.</w:t>
            </w:r>
          </w:p>
        </w:tc>
      </w:tr>
      <w:tr w:rsidR="003F43EC" w:rsidRPr="00676303" w14:paraId="34D0A9C1" w14:textId="77777777" w:rsidTr="005B2359">
        <w:tc>
          <w:tcPr>
            <w:tcW w:w="1555" w:type="dxa"/>
            <w:shd w:val="clear" w:color="auto" w:fill="D9E2F3" w:themeFill="accent1" w:themeFillTint="33"/>
          </w:tcPr>
          <w:p w14:paraId="5A97F06E" w14:textId="77777777" w:rsidR="003F43EC" w:rsidRPr="00676303" w:rsidRDefault="003F43EC" w:rsidP="005B2359">
            <w:pPr>
              <w:spacing w:after="0" w:line="20" w:lineRule="atLeast"/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  <w:lang w:val="en-US"/>
              </w:rPr>
            </w:pPr>
            <w:r w:rsidRPr="00676303"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  <w:lang w:val="en-US"/>
              </w:rPr>
              <w:t>Learning Objectives</w:t>
            </w:r>
          </w:p>
          <w:p w14:paraId="11EF87AD" w14:textId="77777777" w:rsidR="003F43EC" w:rsidRPr="00676303" w:rsidRDefault="003F43EC" w:rsidP="005B2359">
            <w:pPr>
              <w:spacing w:after="0" w:line="20" w:lineRule="atLeast"/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  <w:lang w:val="en-US"/>
              </w:rPr>
            </w:pPr>
          </w:p>
          <w:p w14:paraId="2D34B7EA" w14:textId="77777777" w:rsidR="003F43EC" w:rsidRPr="00676303" w:rsidRDefault="003F43EC" w:rsidP="005B2359">
            <w:pPr>
              <w:spacing w:after="0" w:line="20" w:lineRule="atLeast"/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  <w:lang w:val="en-US"/>
              </w:rPr>
            </w:pPr>
            <w:r w:rsidRPr="00676303"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  <w:lang w:val="en-US"/>
              </w:rPr>
              <w:t xml:space="preserve">C- Cognition  </w:t>
            </w:r>
          </w:p>
          <w:p w14:paraId="5A804B19" w14:textId="77777777" w:rsidR="003F43EC" w:rsidRPr="00676303" w:rsidRDefault="003F43EC" w:rsidP="005B2359">
            <w:pPr>
              <w:spacing w:after="0" w:line="20" w:lineRule="atLeast"/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  <w:lang w:val="en-US"/>
              </w:rPr>
            </w:pPr>
            <w:r w:rsidRPr="00676303"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  <w:lang w:val="en-US"/>
              </w:rPr>
              <w:t>S – Skills</w:t>
            </w:r>
          </w:p>
          <w:p w14:paraId="06CDD5AD" w14:textId="77777777" w:rsidR="003F43EC" w:rsidRPr="00676303" w:rsidRDefault="003F43EC" w:rsidP="005B2359">
            <w:pPr>
              <w:spacing w:after="0" w:line="20" w:lineRule="atLeast"/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  <w:lang w:val="en-US"/>
              </w:rPr>
            </w:pPr>
            <w:r w:rsidRPr="00676303"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  <w:lang w:val="en-US"/>
              </w:rPr>
              <w:t>A – Attitudes</w:t>
            </w:r>
          </w:p>
          <w:p w14:paraId="218B0E4A" w14:textId="77777777" w:rsidR="003F43EC" w:rsidRPr="00676303" w:rsidRDefault="003F43EC" w:rsidP="005B2359">
            <w:pPr>
              <w:spacing w:after="0" w:line="20" w:lineRule="atLeast"/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  <w:highlight w:val="yellow"/>
                <w:lang w:val="en-US"/>
              </w:rPr>
            </w:pPr>
          </w:p>
        </w:tc>
        <w:tc>
          <w:tcPr>
            <w:tcW w:w="7654" w:type="dxa"/>
            <w:shd w:val="clear" w:color="auto" w:fill="auto"/>
          </w:tcPr>
          <w:p w14:paraId="6EAFE873" w14:textId="77777777" w:rsidR="003F43EC" w:rsidRPr="00676303" w:rsidRDefault="003F43EC" w:rsidP="005B2359">
            <w:pPr>
              <w:spacing w:after="0" w:line="20" w:lineRule="atLeast"/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  <w:lang w:val="en-US"/>
              </w:rPr>
            </w:pPr>
            <w:r w:rsidRPr="00676303"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  <w:lang w:val="en-US"/>
              </w:rPr>
              <w:t>C- Cognition</w:t>
            </w:r>
          </w:p>
          <w:p w14:paraId="6D756D20" w14:textId="77777777" w:rsidR="003F43EC" w:rsidRPr="00676303" w:rsidRDefault="003F43EC" w:rsidP="005B2359">
            <w:pPr>
              <w:pStyle w:val="ListParagraph"/>
              <w:numPr>
                <w:ilvl w:val="0"/>
                <w:numId w:val="2"/>
              </w:numPr>
              <w:spacing w:after="0" w:line="20" w:lineRule="atLeast"/>
              <w:jc w:val="both"/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en-US"/>
              </w:rPr>
            </w:pPr>
            <w:r w:rsidRPr="00676303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en-US"/>
              </w:rPr>
              <w:t xml:space="preserve">definitions of palliative care, euthanasia, PAS, withholding or withdrawing futile treatment and palliative sedation </w:t>
            </w:r>
          </w:p>
          <w:p w14:paraId="4CE84D73" w14:textId="77777777" w:rsidR="003F43EC" w:rsidRPr="00676303" w:rsidRDefault="003F43EC" w:rsidP="005B2359">
            <w:pPr>
              <w:pStyle w:val="ListParagraph"/>
              <w:numPr>
                <w:ilvl w:val="0"/>
                <w:numId w:val="2"/>
              </w:numPr>
              <w:spacing w:after="0" w:line="20" w:lineRule="atLeast"/>
              <w:jc w:val="both"/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en-US"/>
              </w:rPr>
            </w:pPr>
            <w:r w:rsidRPr="00676303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en-US"/>
              </w:rPr>
              <w:t>describes the international and national legal framework that supports the development of palliative services</w:t>
            </w:r>
          </w:p>
          <w:p w14:paraId="06F0131E" w14:textId="40C469BC" w:rsidR="003F43EC" w:rsidRPr="00676303" w:rsidRDefault="003F43EC" w:rsidP="005B2359">
            <w:pPr>
              <w:pStyle w:val="ListParagraph"/>
              <w:numPr>
                <w:ilvl w:val="0"/>
                <w:numId w:val="2"/>
              </w:numPr>
              <w:spacing w:after="0" w:line="20" w:lineRule="atLeast"/>
              <w:jc w:val="both"/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en-US"/>
              </w:rPr>
            </w:pPr>
            <w:r w:rsidRPr="00676303">
              <w:rPr>
                <w:rFonts w:asciiTheme="minorHAnsi" w:eastAsia="Times New Roman" w:hAnsiTheme="minorHAnsi" w:cstheme="minorHAnsi"/>
                <w:color w:val="000000" w:themeColor="text1"/>
                <w:sz w:val="20"/>
                <w:szCs w:val="20"/>
                <w:lang w:val="en-US" w:eastAsia="en-GB"/>
              </w:rPr>
              <w:t xml:space="preserve">Explains PC sedation and the differences between PC sedation /PAS/Euthanasia and what factors may prompt requests for PAS/Euthanasia </w:t>
            </w:r>
          </w:p>
          <w:p w14:paraId="431A0D50" w14:textId="77777777" w:rsidR="003F43EC" w:rsidRPr="00676303" w:rsidRDefault="003F43EC" w:rsidP="005B2359">
            <w:pPr>
              <w:pStyle w:val="ListParagraph"/>
              <w:numPr>
                <w:ilvl w:val="0"/>
                <w:numId w:val="2"/>
              </w:numPr>
              <w:spacing w:after="0" w:line="20" w:lineRule="atLeast"/>
              <w:jc w:val="both"/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en-US"/>
              </w:rPr>
            </w:pPr>
            <w:r w:rsidRPr="00676303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en-US"/>
              </w:rPr>
              <w:t>evaluates how PAS/Euthanasia may impact on the perception and provision of palliative care.</w:t>
            </w:r>
          </w:p>
          <w:p w14:paraId="597D7E5E" w14:textId="77777777" w:rsidR="003F43EC" w:rsidRPr="00676303" w:rsidRDefault="003F43EC" w:rsidP="005B2359">
            <w:pPr>
              <w:spacing w:after="0" w:line="20" w:lineRule="atLeast"/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  <w:lang w:val="en-US"/>
              </w:rPr>
            </w:pPr>
            <w:r w:rsidRPr="00676303"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  <w:lang w:val="en-US"/>
              </w:rPr>
              <w:t xml:space="preserve">S - Skills </w:t>
            </w:r>
          </w:p>
          <w:p w14:paraId="3E65C0DA" w14:textId="47911802" w:rsidR="003F43EC" w:rsidRPr="00676303" w:rsidRDefault="003F43EC" w:rsidP="005B2359">
            <w:pPr>
              <w:pStyle w:val="ListParagraph"/>
              <w:numPr>
                <w:ilvl w:val="0"/>
                <w:numId w:val="3"/>
              </w:numPr>
              <w:spacing w:after="0" w:line="20" w:lineRule="atLeast"/>
              <w:jc w:val="both"/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en-US"/>
              </w:rPr>
            </w:pPr>
            <w:r w:rsidRPr="00676303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en-US"/>
              </w:rPr>
              <w:t>evaluates individual requests for euthanasia and PAS and their origin factors (personal, psychological, spiritual, social, cultural, economic and demographic)</w:t>
            </w:r>
          </w:p>
          <w:p w14:paraId="60A449D4" w14:textId="77777777" w:rsidR="003F43EC" w:rsidRPr="00676303" w:rsidRDefault="003F43EC" w:rsidP="005B2359">
            <w:pPr>
              <w:spacing w:after="0" w:line="20" w:lineRule="atLeast"/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  <w:lang w:val="en-US"/>
              </w:rPr>
            </w:pPr>
            <w:r w:rsidRPr="00676303"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  <w:lang w:val="en-US"/>
              </w:rPr>
              <w:t>A – Attitudes</w:t>
            </w:r>
          </w:p>
          <w:p w14:paraId="3E17DEF1" w14:textId="3D90487D" w:rsidR="003F43EC" w:rsidRPr="00847D5A" w:rsidRDefault="003F43EC" w:rsidP="005B2359">
            <w:pPr>
              <w:pStyle w:val="ListParagraph"/>
              <w:numPr>
                <w:ilvl w:val="0"/>
                <w:numId w:val="1"/>
              </w:numPr>
              <w:spacing w:after="0" w:line="20" w:lineRule="atLeast"/>
              <w:jc w:val="both"/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en-US"/>
              </w:rPr>
            </w:pPr>
            <w:r w:rsidRPr="00676303">
              <w:rPr>
                <w:rFonts w:asciiTheme="minorHAnsi" w:eastAsia="Times New Roman" w:hAnsiTheme="minorHAnsi" w:cstheme="minorHAnsi"/>
                <w:color w:val="000000" w:themeColor="text1"/>
                <w:sz w:val="20"/>
                <w:szCs w:val="20"/>
                <w:lang w:val="en-US" w:eastAsia="en-GB"/>
              </w:rPr>
              <w:t xml:space="preserve">Reflects why PC is a human right for all </w:t>
            </w:r>
          </w:p>
        </w:tc>
      </w:tr>
      <w:tr w:rsidR="003F43EC" w:rsidRPr="00676303" w14:paraId="3222D939" w14:textId="77777777" w:rsidTr="005B2359">
        <w:tc>
          <w:tcPr>
            <w:tcW w:w="1555" w:type="dxa"/>
            <w:shd w:val="clear" w:color="auto" w:fill="D9E2F3" w:themeFill="accent1" w:themeFillTint="33"/>
          </w:tcPr>
          <w:p w14:paraId="440D21A9" w14:textId="77777777" w:rsidR="003F43EC" w:rsidRPr="00676303" w:rsidRDefault="003F43EC" w:rsidP="005B2359">
            <w:pPr>
              <w:spacing w:after="0" w:line="20" w:lineRule="atLeast"/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  <w:highlight w:val="yellow"/>
                <w:lang w:val="en-US"/>
              </w:rPr>
            </w:pPr>
            <w:r w:rsidRPr="00676303"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  <w:lang w:val="en-US"/>
              </w:rPr>
              <w:t>Learning Methods</w:t>
            </w:r>
          </w:p>
        </w:tc>
        <w:tc>
          <w:tcPr>
            <w:tcW w:w="7654" w:type="dxa"/>
            <w:shd w:val="clear" w:color="auto" w:fill="auto"/>
          </w:tcPr>
          <w:p w14:paraId="46D13459" w14:textId="3FCD71BC" w:rsidR="003F43EC" w:rsidRPr="00676303" w:rsidRDefault="003F43EC" w:rsidP="005B2359">
            <w:pPr>
              <w:spacing w:after="0" w:line="20" w:lineRule="atLeast"/>
              <w:rPr>
                <w:rFonts w:asciiTheme="minorHAnsi" w:hAnsiTheme="minorHAnsi" w:cs="Calibri"/>
                <w:color w:val="000000" w:themeColor="text1"/>
                <w:sz w:val="20"/>
                <w:szCs w:val="20"/>
                <w:lang w:val="en-US"/>
              </w:rPr>
            </w:pPr>
            <w:r w:rsidRPr="00676303">
              <w:rPr>
                <w:rFonts w:asciiTheme="minorHAnsi" w:hAnsiTheme="minorHAnsi" w:cs="Calibri"/>
                <w:color w:val="000000" w:themeColor="text1"/>
                <w:sz w:val="20"/>
                <w:szCs w:val="20"/>
                <w:lang w:val="en-US"/>
              </w:rPr>
              <w:t xml:space="preserve">1hour classroom </w:t>
            </w:r>
          </w:p>
          <w:p w14:paraId="62D22002" w14:textId="77777777" w:rsidR="003F43EC" w:rsidRPr="00676303" w:rsidRDefault="003F43EC" w:rsidP="005B2359">
            <w:pPr>
              <w:spacing w:after="0" w:line="20" w:lineRule="atLeast"/>
              <w:rPr>
                <w:rFonts w:asciiTheme="minorHAnsi" w:eastAsiaTheme="minorHAnsi" w:hAnsiTheme="minorHAnsi" w:cstheme="minorHAnsi"/>
                <w:color w:val="000000" w:themeColor="text1"/>
                <w:sz w:val="20"/>
                <w:szCs w:val="20"/>
                <w:lang w:val="en-US"/>
              </w:rPr>
            </w:pPr>
          </w:p>
        </w:tc>
      </w:tr>
      <w:tr w:rsidR="003F43EC" w:rsidRPr="00676303" w14:paraId="26B96713" w14:textId="77777777" w:rsidTr="005B2359">
        <w:tc>
          <w:tcPr>
            <w:tcW w:w="1555" w:type="dxa"/>
            <w:shd w:val="clear" w:color="auto" w:fill="D9E2F3" w:themeFill="accent1" w:themeFillTint="33"/>
          </w:tcPr>
          <w:p w14:paraId="7DF43A24" w14:textId="77777777" w:rsidR="003F43EC" w:rsidRPr="00676303" w:rsidRDefault="003F43EC" w:rsidP="005B2359">
            <w:pPr>
              <w:spacing w:after="0" w:line="20" w:lineRule="atLeast"/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  <w:highlight w:val="yellow"/>
                <w:lang w:val="en-US"/>
              </w:rPr>
            </w:pPr>
            <w:r w:rsidRPr="00676303"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  <w:lang w:val="en-US"/>
              </w:rPr>
              <w:t xml:space="preserve">Timing </w:t>
            </w:r>
          </w:p>
        </w:tc>
        <w:tc>
          <w:tcPr>
            <w:tcW w:w="7654" w:type="dxa"/>
            <w:shd w:val="clear" w:color="auto" w:fill="auto"/>
          </w:tcPr>
          <w:p w14:paraId="1D678080" w14:textId="77777777" w:rsidR="003F43EC" w:rsidRPr="00676303" w:rsidRDefault="003F43EC" w:rsidP="005B2359">
            <w:pPr>
              <w:spacing w:after="0" w:line="20" w:lineRule="atLeast"/>
              <w:rPr>
                <w:rFonts w:asciiTheme="minorHAnsi" w:hAnsiTheme="minorHAnsi" w:cs="Calibri"/>
                <w:color w:val="000000" w:themeColor="text1"/>
                <w:sz w:val="20"/>
                <w:szCs w:val="20"/>
                <w:lang w:val="en-US"/>
              </w:rPr>
            </w:pPr>
            <w:r w:rsidRPr="00676303">
              <w:rPr>
                <w:rFonts w:asciiTheme="minorHAnsi" w:hAnsiTheme="minorHAnsi" w:cs="Calibri"/>
                <w:color w:val="000000" w:themeColor="text1"/>
                <w:sz w:val="20"/>
                <w:szCs w:val="20"/>
                <w:lang w:val="en-US"/>
              </w:rPr>
              <w:t xml:space="preserve">On-line </w:t>
            </w:r>
          </w:p>
        </w:tc>
      </w:tr>
      <w:tr w:rsidR="003F43EC" w:rsidRPr="00676303" w14:paraId="29B5E0FA" w14:textId="77777777" w:rsidTr="005B2359">
        <w:tc>
          <w:tcPr>
            <w:tcW w:w="1555" w:type="dxa"/>
            <w:shd w:val="clear" w:color="auto" w:fill="D9E2F3" w:themeFill="accent1" w:themeFillTint="33"/>
          </w:tcPr>
          <w:p w14:paraId="31B3FCB3" w14:textId="77777777" w:rsidR="003F43EC" w:rsidRPr="00676303" w:rsidRDefault="003F43EC" w:rsidP="005B2359">
            <w:pPr>
              <w:spacing w:after="0" w:line="20" w:lineRule="atLeast"/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  <w:highlight w:val="yellow"/>
                <w:lang w:val="en-US"/>
              </w:rPr>
            </w:pPr>
            <w:r w:rsidRPr="00676303"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  <w:lang w:val="en-US"/>
              </w:rPr>
              <w:t xml:space="preserve">Bibliography/ Resources </w:t>
            </w:r>
          </w:p>
        </w:tc>
        <w:tc>
          <w:tcPr>
            <w:tcW w:w="7654" w:type="dxa"/>
            <w:shd w:val="clear" w:color="auto" w:fill="auto"/>
          </w:tcPr>
          <w:p w14:paraId="60F22CBA" w14:textId="77777777" w:rsidR="003F43EC" w:rsidRPr="00676303" w:rsidRDefault="003F43EC" w:rsidP="005B2359">
            <w:pPr>
              <w:pStyle w:val="ListParagraph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0" w:lineRule="atLeast"/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en-US"/>
              </w:rPr>
            </w:pPr>
            <w:r w:rsidRPr="00676303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en-US"/>
              </w:rPr>
              <w:t xml:space="preserve">Lukas Radbruch1,2, Carlo Leget3, Patrick Bahr1, Christof Müller-Busch4,5, John Ellershaw6, Franco de Conno7 and Paul </w:t>
            </w:r>
            <w:proofErr w:type="spellStart"/>
            <w:r w:rsidRPr="00676303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en-US"/>
              </w:rPr>
              <w:t>Vanden</w:t>
            </w:r>
            <w:proofErr w:type="spellEnd"/>
            <w:r w:rsidRPr="00676303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en-US"/>
              </w:rPr>
              <w:t xml:space="preserve"> Berghe8 Euthanasia and physician-assisted suicide: A white paper from the European Association for Palliative Care Palliative Medicine 2015 1-13 </w:t>
            </w:r>
            <w:hyperlink r:id="rId6" w:history="1">
              <w:r w:rsidRPr="00676303">
                <w:rPr>
                  <w:rStyle w:val="Hyperlink"/>
                  <w:rFonts w:asciiTheme="minorHAnsi" w:hAnsiTheme="minorHAnsi" w:cstheme="minorHAnsi"/>
                  <w:color w:val="000000" w:themeColor="text1"/>
                  <w:sz w:val="20"/>
                  <w:szCs w:val="20"/>
                  <w:lang w:val="en-US"/>
                </w:rPr>
                <w:t>http://www.eapcnet.eu/LinkClick.aspx?fileticket=28Vb6OIn9SQ%3D</w:t>
              </w:r>
            </w:hyperlink>
            <w:r w:rsidRPr="00676303">
              <w:rPr>
                <w:rStyle w:val="Hyperlink"/>
                <w:rFonts w:asciiTheme="minorHAnsi" w:hAnsiTheme="minorHAnsi" w:cstheme="minorHAns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r w:rsidRPr="00676303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  <w:p w14:paraId="45AAC345" w14:textId="77777777" w:rsidR="003F43EC" w:rsidRPr="00676303" w:rsidRDefault="00847D5A" w:rsidP="005B2359">
            <w:pPr>
              <w:pStyle w:val="ListParagraph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0" w:lineRule="atLeast"/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en-US"/>
              </w:rPr>
            </w:pPr>
            <w:hyperlink r:id="rId7" w:history="1">
              <w:r w:rsidR="003F43EC" w:rsidRPr="00676303">
                <w:rPr>
                  <w:rStyle w:val="Hyperlink"/>
                  <w:rFonts w:asciiTheme="minorHAnsi" w:hAnsiTheme="minorHAnsi"/>
                  <w:color w:val="000000" w:themeColor="text1"/>
                  <w:sz w:val="20"/>
                  <w:szCs w:val="20"/>
                  <w:lang w:val="en-US"/>
                </w:rPr>
                <w:t>Liliana De Lima</w:t>
              </w:r>
            </w:hyperlink>
            <w:r w:rsidR="003F43EC" w:rsidRPr="00676303">
              <w:rPr>
                <w:rFonts w:asciiTheme="minorHAnsi" w:hAnsiTheme="minorHAnsi"/>
                <w:color w:val="000000" w:themeColor="text1"/>
                <w:sz w:val="20"/>
                <w:szCs w:val="20"/>
                <w:lang w:val="en-US"/>
              </w:rPr>
              <w:t>, MHA,</w:t>
            </w:r>
            <w:r w:rsidR="003F43EC" w:rsidRPr="00676303">
              <w:rPr>
                <w:noProof/>
                <w:vertAlign w:val="superscript"/>
                <w:lang w:val="en-IE" w:eastAsia="en-IE"/>
              </w:rPr>
              <w:drawing>
                <wp:inline distT="0" distB="0" distL="0" distR="0" wp14:anchorId="41848D98" wp14:editId="1538D198">
                  <wp:extent cx="67945" cy="81915"/>
                  <wp:effectExtent l="19050" t="0" r="8255" b="0"/>
                  <wp:docPr id="5" name="Picture 5" descr="corresponding autho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orresponding autho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945" cy="819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3F43EC" w:rsidRPr="00676303">
              <w:rPr>
                <w:rFonts w:asciiTheme="minorHAnsi" w:hAnsiTheme="minorHAnsi"/>
                <w:color w:val="000000" w:themeColor="text1"/>
                <w:sz w:val="20"/>
                <w:szCs w:val="20"/>
                <w:vertAlign w:val="superscript"/>
                <w:lang w:val="en-US"/>
              </w:rPr>
              <w:t>1</w:t>
            </w:r>
            <w:r w:rsidR="003F43EC" w:rsidRPr="00676303">
              <w:rPr>
                <w:rFonts w:asciiTheme="minorHAnsi" w:hAnsiTheme="minorHAns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hyperlink r:id="rId9" w:history="1">
              <w:r w:rsidR="003F43EC" w:rsidRPr="00676303">
                <w:rPr>
                  <w:rStyle w:val="Hyperlink"/>
                  <w:rFonts w:asciiTheme="minorHAnsi" w:hAnsiTheme="minorHAnsi"/>
                  <w:color w:val="000000" w:themeColor="text1"/>
                  <w:sz w:val="20"/>
                  <w:szCs w:val="20"/>
                  <w:lang w:val="en-US"/>
                </w:rPr>
                <w:t>Roger Woodruff</w:t>
              </w:r>
            </w:hyperlink>
            <w:r w:rsidR="003F43EC" w:rsidRPr="00676303">
              <w:rPr>
                <w:rFonts w:asciiTheme="minorHAnsi" w:hAnsiTheme="minorHAnsi"/>
                <w:color w:val="000000" w:themeColor="text1"/>
                <w:sz w:val="20"/>
                <w:szCs w:val="20"/>
                <w:lang w:val="en-US"/>
              </w:rPr>
              <w:t>, MD,</w:t>
            </w:r>
            <w:r w:rsidR="003F43EC" w:rsidRPr="00676303">
              <w:rPr>
                <w:rFonts w:asciiTheme="minorHAnsi" w:hAnsiTheme="minorHAnsi"/>
                <w:color w:val="000000" w:themeColor="text1"/>
                <w:sz w:val="20"/>
                <w:szCs w:val="20"/>
                <w:vertAlign w:val="superscript"/>
                <w:lang w:val="en-US"/>
              </w:rPr>
              <w:t>2</w:t>
            </w:r>
            <w:r w:rsidR="003F43EC" w:rsidRPr="00676303">
              <w:rPr>
                <w:rFonts w:asciiTheme="minorHAnsi" w:hAnsiTheme="minorHAns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hyperlink r:id="rId10" w:history="1">
              <w:r w:rsidR="003F43EC" w:rsidRPr="00676303">
                <w:rPr>
                  <w:rStyle w:val="Hyperlink"/>
                  <w:rFonts w:asciiTheme="minorHAnsi" w:hAnsiTheme="minorHAnsi"/>
                  <w:color w:val="000000" w:themeColor="text1"/>
                  <w:sz w:val="20"/>
                  <w:szCs w:val="20"/>
                  <w:lang w:val="en-US"/>
                </w:rPr>
                <w:t>Katherine Pettus</w:t>
              </w:r>
            </w:hyperlink>
            <w:r w:rsidR="003F43EC" w:rsidRPr="00676303">
              <w:rPr>
                <w:rFonts w:asciiTheme="minorHAnsi" w:hAnsiTheme="minorHAnsi"/>
                <w:color w:val="000000" w:themeColor="text1"/>
                <w:sz w:val="20"/>
                <w:szCs w:val="20"/>
                <w:lang w:val="en-US"/>
              </w:rPr>
              <w:t>, PhD,</w:t>
            </w:r>
            <w:r w:rsidR="003F43EC" w:rsidRPr="00676303">
              <w:rPr>
                <w:rFonts w:asciiTheme="minorHAnsi" w:hAnsiTheme="minorHAnsi"/>
                <w:color w:val="000000" w:themeColor="text1"/>
                <w:sz w:val="20"/>
                <w:szCs w:val="20"/>
                <w:vertAlign w:val="superscript"/>
                <w:lang w:val="en-US"/>
              </w:rPr>
              <w:t>1</w:t>
            </w:r>
            <w:r w:rsidR="003F43EC" w:rsidRPr="00676303">
              <w:rPr>
                <w:rFonts w:asciiTheme="minorHAnsi" w:hAnsiTheme="minorHAns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hyperlink r:id="rId11" w:history="1">
              <w:r w:rsidR="003F43EC" w:rsidRPr="00676303">
                <w:rPr>
                  <w:rStyle w:val="Hyperlink"/>
                  <w:rFonts w:asciiTheme="minorHAnsi" w:hAnsiTheme="minorHAnsi"/>
                  <w:color w:val="000000" w:themeColor="text1"/>
                  <w:sz w:val="20"/>
                  <w:szCs w:val="20"/>
                  <w:lang w:val="en-US"/>
                </w:rPr>
                <w:t>Julia Downing</w:t>
              </w:r>
            </w:hyperlink>
            <w:r w:rsidR="003F43EC" w:rsidRPr="00676303">
              <w:rPr>
                <w:rFonts w:asciiTheme="minorHAnsi" w:hAnsiTheme="minorHAnsi"/>
                <w:color w:val="000000" w:themeColor="text1"/>
                <w:sz w:val="20"/>
                <w:szCs w:val="20"/>
                <w:lang w:val="en-US"/>
              </w:rPr>
              <w:t>, RN, PhD,</w:t>
            </w:r>
            <w:r w:rsidR="003F43EC" w:rsidRPr="00676303">
              <w:rPr>
                <w:rFonts w:asciiTheme="minorHAnsi" w:hAnsiTheme="minorHAnsi"/>
                <w:color w:val="000000" w:themeColor="text1"/>
                <w:sz w:val="20"/>
                <w:szCs w:val="20"/>
                <w:vertAlign w:val="superscript"/>
                <w:lang w:val="en-US"/>
              </w:rPr>
              <w:t>3</w:t>
            </w:r>
            <w:r w:rsidR="003F43EC" w:rsidRPr="00676303">
              <w:rPr>
                <w:rFonts w:asciiTheme="minorHAnsi" w:hAnsiTheme="minorHAns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hyperlink r:id="rId12" w:history="1">
              <w:r w:rsidR="003F43EC" w:rsidRPr="00676303">
                <w:rPr>
                  <w:rStyle w:val="Hyperlink"/>
                  <w:rFonts w:asciiTheme="minorHAnsi" w:hAnsiTheme="minorHAnsi"/>
                  <w:color w:val="000000" w:themeColor="text1"/>
                  <w:sz w:val="20"/>
                  <w:szCs w:val="20"/>
                  <w:lang w:val="en-US"/>
                </w:rPr>
                <w:t>Rosa Buitrago</w:t>
              </w:r>
            </w:hyperlink>
            <w:r w:rsidR="003F43EC" w:rsidRPr="00676303">
              <w:rPr>
                <w:rFonts w:asciiTheme="minorHAnsi" w:hAnsiTheme="minorHAnsi"/>
                <w:color w:val="000000" w:themeColor="text1"/>
                <w:sz w:val="20"/>
                <w:szCs w:val="20"/>
                <w:lang w:val="en-US"/>
              </w:rPr>
              <w:t>, MCPH,</w:t>
            </w:r>
            <w:r w:rsidR="003F43EC" w:rsidRPr="00676303">
              <w:rPr>
                <w:rFonts w:asciiTheme="minorHAnsi" w:hAnsiTheme="minorHAnsi"/>
                <w:color w:val="000000" w:themeColor="text1"/>
                <w:sz w:val="20"/>
                <w:szCs w:val="20"/>
                <w:vertAlign w:val="superscript"/>
                <w:lang w:val="en-US"/>
              </w:rPr>
              <w:t>4</w:t>
            </w:r>
            <w:r w:rsidR="003F43EC" w:rsidRPr="00676303">
              <w:rPr>
                <w:rFonts w:asciiTheme="minorHAnsi" w:hAnsiTheme="minorHAns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hyperlink r:id="rId13" w:history="1">
              <w:r w:rsidR="003F43EC" w:rsidRPr="00676303">
                <w:rPr>
                  <w:rStyle w:val="Hyperlink"/>
                  <w:rFonts w:asciiTheme="minorHAnsi" w:hAnsiTheme="minorHAnsi"/>
                  <w:color w:val="000000" w:themeColor="text1"/>
                  <w:sz w:val="20"/>
                  <w:szCs w:val="20"/>
                  <w:lang w:val="en-US"/>
                </w:rPr>
                <w:t>Esther Munyoro</w:t>
              </w:r>
            </w:hyperlink>
            <w:r w:rsidR="003F43EC" w:rsidRPr="00676303">
              <w:rPr>
                <w:rFonts w:asciiTheme="minorHAnsi" w:hAnsiTheme="minorHAnsi"/>
                <w:color w:val="000000" w:themeColor="text1"/>
                <w:sz w:val="20"/>
                <w:szCs w:val="20"/>
                <w:lang w:val="en-US"/>
              </w:rPr>
              <w:t>, MD,</w:t>
            </w:r>
            <w:r w:rsidR="003F43EC" w:rsidRPr="00676303">
              <w:rPr>
                <w:rFonts w:asciiTheme="minorHAnsi" w:hAnsiTheme="minorHAnsi"/>
                <w:color w:val="000000" w:themeColor="text1"/>
                <w:sz w:val="20"/>
                <w:szCs w:val="20"/>
                <w:vertAlign w:val="superscript"/>
                <w:lang w:val="en-US"/>
              </w:rPr>
              <w:t>5</w:t>
            </w:r>
            <w:r w:rsidR="003F43EC" w:rsidRPr="00676303">
              <w:rPr>
                <w:rFonts w:asciiTheme="minorHAnsi" w:hAnsiTheme="minorHAns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hyperlink r:id="rId14" w:history="1">
              <w:r w:rsidR="003F43EC" w:rsidRPr="00676303">
                <w:rPr>
                  <w:rStyle w:val="Hyperlink"/>
                  <w:rFonts w:asciiTheme="minorHAnsi" w:hAnsiTheme="minorHAnsi"/>
                  <w:color w:val="000000" w:themeColor="text1"/>
                  <w:sz w:val="20"/>
                  <w:szCs w:val="20"/>
                  <w:lang w:val="en-US"/>
                </w:rPr>
                <w:t>Chitra Venkateswaran</w:t>
              </w:r>
            </w:hyperlink>
            <w:r w:rsidR="003F43EC" w:rsidRPr="00676303">
              <w:rPr>
                <w:rFonts w:asciiTheme="minorHAnsi" w:hAnsiTheme="minorHAnsi"/>
                <w:color w:val="000000" w:themeColor="text1"/>
                <w:sz w:val="20"/>
                <w:szCs w:val="20"/>
                <w:lang w:val="en-US"/>
              </w:rPr>
              <w:t>, MD,</w:t>
            </w:r>
            <w:r w:rsidR="003F43EC" w:rsidRPr="00676303">
              <w:rPr>
                <w:rFonts w:asciiTheme="minorHAnsi" w:hAnsiTheme="minorHAnsi"/>
                <w:color w:val="000000" w:themeColor="text1"/>
                <w:sz w:val="20"/>
                <w:szCs w:val="20"/>
                <w:vertAlign w:val="superscript"/>
                <w:lang w:val="en-US"/>
              </w:rPr>
              <w:t>6</w:t>
            </w:r>
            <w:r w:rsidR="003F43EC" w:rsidRPr="00676303">
              <w:rPr>
                <w:rFonts w:asciiTheme="minorHAnsi" w:hAnsiTheme="minorHAns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hyperlink r:id="rId15" w:history="1">
              <w:r w:rsidR="003F43EC" w:rsidRPr="00676303">
                <w:rPr>
                  <w:rStyle w:val="Hyperlink"/>
                  <w:rFonts w:asciiTheme="minorHAnsi" w:hAnsiTheme="minorHAnsi"/>
                  <w:color w:val="000000" w:themeColor="text1"/>
                  <w:sz w:val="20"/>
                  <w:szCs w:val="20"/>
                  <w:lang w:val="en-US"/>
                </w:rPr>
                <w:t>Sushma Bhatnagar</w:t>
              </w:r>
            </w:hyperlink>
            <w:r w:rsidR="003F43EC" w:rsidRPr="00676303">
              <w:rPr>
                <w:rFonts w:asciiTheme="minorHAnsi" w:hAnsiTheme="minorHAnsi"/>
                <w:color w:val="000000" w:themeColor="text1"/>
                <w:sz w:val="20"/>
                <w:szCs w:val="20"/>
                <w:lang w:val="en-US"/>
              </w:rPr>
              <w:t>, MD,</w:t>
            </w:r>
            <w:r w:rsidR="003F43EC" w:rsidRPr="00676303">
              <w:rPr>
                <w:rFonts w:asciiTheme="minorHAnsi" w:hAnsiTheme="minorHAnsi"/>
                <w:color w:val="000000" w:themeColor="text1"/>
                <w:sz w:val="20"/>
                <w:szCs w:val="20"/>
                <w:vertAlign w:val="superscript"/>
                <w:lang w:val="en-US"/>
              </w:rPr>
              <w:t>7</w:t>
            </w:r>
            <w:r w:rsidR="003F43EC" w:rsidRPr="00676303">
              <w:rPr>
                <w:rFonts w:asciiTheme="minorHAnsi" w:hAnsiTheme="minorHAnsi"/>
                <w:color w:val="000000" w:themeColor="text1"/>
                <w:sz w:val="20"/>
                <w:szCs w:val="20"/>
                <w:lang w:val="en-US"/>
              </w:rPr>
              <w:t xml:space="preserve"> and </w:t>
            </w:r>
            <w:hyperlink r:id="rId16" w:history="1">
              <w:r w:rsidR="003F43EC" w:rsidRPr="00676303">
                <w:rPr>
                  <w:rStyle w:val="Hyperlink"/>
                  <w:rFonts w:asciiTheme="minorHAnsi" w:hAnsiTheme="minorHAnsi"/>
                  <w:color w:val="000000" w:themeColor="text1"/>
                  <w:sz w:val="20"/>
                  <w:szCs w:val="20"/>
                  <w:lang w:val="en-US"/>
                </w:rPr>
                <w:t>Lukas Radbruch</w:t>
              </w:r>
            </w:hyperlink>
            <w:r w:rsidR="003F43EC" w:rsidRPr="00676303">
              <w:rPr>
                <w:rFonts w:asciiTheme="minorHAnsi" w:hAnsiTheme="minorHAnsi"/>
                <w:color w:val="000000" w:themeColor="text1"/>
                <w:sz w:val="20"/>
                <w:szCs w:val="20"/>
                <w:lang w:val="en-US"/>
              </w:rPr>
              <w:t xml:space="preserve">, International Association for Hospice and Palliative Care Position Statement: Euthanasia and Physician-Assisted Suicide J Palliative Medicine 2017 20(1) 8-14 </w:t>
            </w:r>
            <w:hyperlink r:id="rId17" w:history="1">
              <w:r w:rsidR="003F43EC" w:rsidRPr="00676303">
                <w:rPr>
                  <w:rStyle w:val="Hyperlink"/>
                  <w:rFonts w:asciiTheme="minorHAnsi" w:hAnsiTheme="minorHAnsi"/>
                  <w:color w:val="000000" w:themeColor="text1"/>
                  <w:sz w:val="20"/>
                  <w:szCs w:val="20"/>
                  <w:lang w:val="en-US"/>
                </w:rPr>
                <w:t>https://www.ncbi.nlm.nih.gov/pmc/articles/PMC5177996/</w:t>
              </w:r>
            </w:hyperlink>
            <w:r w:rsidR="003F43EC" w:rsidRPr="00676303">
              <w:rPr>
                <w:rFonts w:asciiTheme="minorHAnsi" w:hAnsiTheme="minorHAns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  <w:p w14:paraId="431216E4" w14:textId="77777777" w:rsidR="003F43EC" w:rsidRPr="00676303" w:rsidRDefault="003F43EC" w:rsidP="005B2359">
            <w:pPr>
              <w:pStyle w:val="ListParagraph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0" w:lineRule="atLeast"/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en-US"/>
              </w:rPr>
            </w:pPr>
            <w:r w:rsidRPr="00676303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en-US"/>
              </w:rPr>
              <w:t xml:space="preserve">Nathan I </w:t>
            </w:r>
            <w:proofErr w:type="spellStart"/>
            <w:r w:rsidRPr="00676303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en-US"/>
              </w:rPr>
              <w:t>Cherny</w:t>
            </w:r>
            <w:proofErr w:type="spellEnd"/>
            <w:r w:rsidRPr="00676303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en-US"/>
              </w:rPr>
              <w:t xml:space="preserve"> Lukas </w:t>
            </w:r>
            <w:proofErr w:type="spellStart"/>
            <w:r w:rsidRPr="00676303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en-US"/>
              </w:rPr>
              <w:t>Radbruch</w:t>
            </w:r>
            <w:proofErr w:type="spellEnd"/>
            <w:r w:rsidRPr="00676303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en-US"/>
              </w:rPr>
              <w:t xml:space="preserve"> European Association for Palliative Care</w:t>
            </w:r>
          </w:p>
          <w:p w14:paraId="28050717" w14:textId="77777777" w:rsidR="003F43EC" w:rsidRPr="00676303" w:rsidRDefault="003F43EC" w:rsidP="005B2359">
            <w:pPr>
              <w:pStyle w:val="ListParagraph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0" w:lineRule="atLeast"/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en-US"/>
              </w:rPr>
            </w:pPr>
            <w:r w:rsidRPr="00676303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en-US"/>
              </w:rPr>
              <w:t>(EAPC) recommended framework for the use of sedation in palliative care           Palliative Medicine 23(7) 581–593</w:t>
            </w:r>
          </w:p>
          <w:p w14:paraId="63EDC429" w14:textId="77777777" w:rsidR="003F43EC" w:rsidRPr="00676303" w:rsidRDefault="00847D5A" w:rsidP="005B2359">
            <w:pPr>
              <w:pStyle w:val="ListParagraph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0" w:lineRule="atLeast"/>
              <w:rPr>
                <w:rStyle w:val="cit"/>
                <w:rFonts w:asciiTheme="minorHAnsi" w:hAnsiTheme="minorHAnsi" w:cstheme="minorHAnsi"/>
                <w:color w:val="000000" w:themeColor="text1"/>
                <w:sz w:val="20"/>
                <w:szCs w:val="20"/>
                <w:lang w:val="en-US"/>
              </w:rPr>
            </w:pPr>
            <w:hyperlink r:id="rId18" w:history="1">
              <w:r w:rsidR="003F43EC" w:rsidRPr="00676303">
                <w:rPr>
                  <w:rStyle w:val="Hyperlink"/>
                  <w:rFonts w:asciiTheme="minorHAnsi" w:hAnsiTheme="minorHAnsi"/>
                  <w:color w:val="000000" w:themeColor="text1"/>
                  <w:sz w:val="20"/>
                  <w:szCs w:val="20"/>
                  <w:lang w:val="en-US"/>
                </w:rPr>
                <w:t>J. Pereira</w:t>
              </w:r>
            </w:hyperlink>
            <w:r w:rsidR="003F43EC" w:rsidRPr="00676303">
              <w:rPr>
                <w:rFonts w:asciiTheme="minorHAnsi" w:hAnsiTheme="minorHAnsi"/>
                <w:color w:val="000000" w:themeColor="text1"/>
                <w:sz w:val="20"/>
                <w:szCs w:val="20"/>
                <w:lang w:val="en-US"/>
              </w:rPr>
              <w:t xml:space="preserve"> Legalizing euthanasia or assisted suicide: the illusion of safeguards and controls </w:t>
            </w:r>
            <w:hyperlink r:id="rId19" w:history="1">
              <w:r w:rsidR="003F43EC" w:rsidRPr="00676303">
                <w:rPr>
                  <w:rStyle w:val="Hyperlink"/>
                  <w:rFonts w:asciiTheme="minorHAnsi" w:hAnsiTheme="minorHAnsi"/>
                  <w:color w:val="000000" w:themeColor="text1"/>
                  <w:sz w:val="20"/>
                  <w:szCs w:val="20"/>
                  <w:lang w:val="en-US"/>
                </w:rPr>
                <w:t>Curr Oncol</w:t>
              </w:r>
            </w:hyperlink>
            <w:r w:rsidR="003F43EC" w:rsidRPr="00676303">
              <w:rPr>
                <w:rStyle w:val="cit"/>
                <w:rFonts w:asciiTheme="minorHAnsi" w:hAnsiTheme="minorHAnsi"/>
                <w:color w:val="000000" w:themeColor="text1"/>
                <w:sz w:val="20"/>
                <w:szCs w:val="20"/>
                <w:lang w:val="en-US"/>
              </w:rPr>
              <w:t xml:space="preserve">. 2011 Apr; 18(2): e38–e45.  </w:t>
            </w:r>
            <w:hyperlink r:id="rId20" w:history="1">
              <w:r w:rsidR="003F43EC" w:rsidRPr="00676303">
                <w:rPr>
                  <w:rStyle w:val="Hyperlink"/>
                  <w:rFonts w:asciiTheme="minorHAnsi" w:hAnsiTheme="minorHAnsi"/>
                  <w:color w:val="000000" w:themeColor="text1"/>
                  <w:sz w:val="20"/>
                  <w:szCs w:val="20"/>
                  <w:lang w:val="en-US"/>
                </w:rPr>
                <w:t>https://www.ncbi.nlm.nih.gov/pmc/articles/PMC3070710/</w:t>
              </w:r>
            </w:hyperlink>
            <w:r w:rsidR="003F43EC" w:rsidRPr="00676303">
              <w:rPr>
                <w:rStyle w:val="cit"/>
                <w:rFonts w:asciiTheme="minorHAnsi" w:hAnsiTheme="minorHAns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  <w:p w14:paraId="338B4BB0" w14:textId="77777777" w:rsidR="003F43EC" w:rsidRPr="00676303" w:rsidRDefault="00847D5A" w:rsidP="005B2359">
            <w:pPr>
              <w:pStyle w:val="ListParagraph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0" w:lineRule="atLeast"/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en-US"/>
              </w:rPr>
            </w:pPr>
            <w:hyperlink r:id="rId21" w:history="1">
              <w:r w:rsidR="003F43EC" w:rsidRPr="00676303">
                <w:rPr>
                  <w:rFonts w:asciiTheme="minorHAnsi" w:hAnsiTheme="minorHAnsi" w:cstheme="minorHAnsi"/>
                  <w:color w:val="000000" w:themeColor="text1"/>
                  <w:sz w:val="20"/>
                  <w:szCs w:val="20"/>
                  <w:lang w:val="en-US"/>
                </w:rPr>
                <w:t>Brennan F</w:t>
              </w:r>
            </w:hyperlink>
            <w:r w:rsidR="003F43EC" w:rsidRPr="00676303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en-US"/>
              </w:rPr>
              <w:t xml:space="preserve"> Palliative care as an international human right. </w:t>
            </w:r>
            <w:hyperlink r:id="rId22" w:tooltip="Journal of pain and symptom management." w:history="1">
              <w:r w:rsidR="003F43EC" w:rsidRPr="00676303">
                <w:rPr>
                  <w:rFonts w:asciiTheme="minorHAnsi" w:hAnsiTheme="minorHAnsi" w:cstheme="minorHAnsi"/>
                  <w:color w:val="000000" w:themeColor="text1"/>
                  <w:sz w:val="20"/>
                  <w:szCs w:val="20"/>
                  <w:lang w:val="en-US"/>
                </w:rPr>
                <w:t>J Pain Symptom Manage.</w:t>
              </w:r>
            </w:hyperlink>
            <w:r w:rsidR="003F43EC" w:rsidRPr="00676303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en-US"/>
              </w:rPr>
              <w:t xml:space="preserve"> 2007 May;33(5):494-9</w:t>
            </w:r>
          </w:p>
          <w:p w14:paraId="01E35CE8" w14:textId="77777777" w:rsidR="003F43EC" w:rsidRPr="00676303" w:rsidRDefault="003F43EC" w:rsidP="005B2359">
            <w:pPr>
              <w:pStyle w:val="ListParagraph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0" w:lineRule="atLeast"/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en-US"/>
              </w:rPr>
            </w:pPr>
            <w:r w:rsidRPr="00676303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en-US"/>
              </w:rPr>
              <w:t xml:space="preserve">Palliative care as a human right: what has the </w:t>
            </w:r>
            <w:proofErr w:type="spellStart"/>
            <w:r w:rsidRPr="00676303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en-US"/>
              </w:rPr>
              <w:t>Prague</w:t>
            </w:r>
            <w:proofErr w:type="gramStart"/>
            <w:r w:rsidRPr="00676303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en-US"/>
              </w:rPr>
              <w:t>,Charter</w:t>
            </w:r>
            <w:proofErr w:type="spellEnd"/>
            <w:proofErr w:type="gramEnd"/>
            <w:r w:rsidRPr="00676303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en-US"/>
              </w:rPr>
              <w:t xml:space="preserve"> achieved? </w:t>
            </w:r>
            <w:hyperlink r:id="rId23" w:history="1">
              <w:r w:rsidRPr="00676303">
                <w:rPr>
                  <w:rStyle w:val="Hyperlink"/>
                  <w:rFonts w:asciiTheme="minorHAnsi" w:hAnsiTheme="minorHAnsi" w:cstheme="minorHAnsi"/>
                  <w:color w:val="000000" w:themeColor="text1"/>
                  <w:sz w:val="20"/>
                  <w:szCs w:val="20"/>
                  <w:lang w:val="en-US"/>
                </w:rPr>
                <w:t>http://www.eapcnet.eu/Portals/0/Clinical/Publications/EJPC22%283%29Schmidlin.pdf</w:t>
              </w:r>
            </w:hyperlink>
            <w:r w:rsidRPr="00676303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  <w:p w14:paraId="0A6FEC14" w14:textId="77777777" w:rsidR="003F43EC" w:rsidRPr="00676303" w:rsidRDefault="003F43EC" w:rsidP="005B2359">
            <w:pPr>
              <w:pStyle w:val="ListParagraph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0" w:lineRule="atLeast"/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en-US"/>
              </w:rPr>
            </w:pPr>
            <w:r w:rsidRPr="00676303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en-US"/>
              </w:rPr>
              <w:t xml:space="preserve">LIZ GWYTHER, PALLIATIVE CARE AS A HUMAN RIGHT CANCER CONTROL 2014 116-121 </w:t>
            </w:r>
            <w:hyperlink r:id="rId24" w:history="1">
              <w:r w:rsidRPr="00676303">
                <w:rPr>
                  <w:rStyle w:val="Hyperlink"/>
                  <w:rFonts w:asciiTheme="minorHAnsi" w:hAnsiTheme="minorHAnsi"/>
                  <w:color w:val="000000" w:themeColor="text1"/>
                  <w:sz w:val="20"/>
                  <w:szCs w:val="20"/>
                  <w:lang w:val="en-US"/>
                </w:rPr>
                <w:t>http://www.cancercontrol.info/wp-content/uploads/2014/08/116-121-Gwyther.pdf</w:t>
              </w:r>
            </w:hyperlink>
            <w:r w:rsidRPr="00676303">
              <w:rPr>
                <w:rStyle w:val="Hyperlink"/>
                <w:rFonts w:asciiTheme="minorHAnsi" w:hAnsiTheme="minorHAnsi"/>
                <w:color w:val="000000" w:themeColor="text1"/>
                <w:sz w:val="20"/>
                <w:szCs w:val="20"/>
                <w:lang w:val="en-US"/>
              </w:rPr>
              <w:t xml:space="preserve">  </w:t>
            </w:r>
            <w:r w:rsidRPr="00676303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  <w:p w14:paraId="02C06CCD" w14:textId="77777777" w:rsidR="003F43EC" w:rsidRPr="00676303" w:rsidRDefault="003F43EC" w:rsidP="005B2359">
            <w:pPr>
              <w:pStyle w:val="ListParagraph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0" w:lineRule="atLeast"/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en-US"/>
              </w:rPr>
            </w:pPr>
            <w:r w:rsidRPr="00676303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en-US"/>
              </w:rPr>
              <w:t xml:space="preserve">Emanuel E. J.; Fairclough D. L.; Emanuel L. L. Attitudes and desires related to euthanasia and physician-assisted suicide among terminally ill patients and their </w:t>
            </w:r>
            <w:r w:rsidRPr="00676303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en-US"/>
              </w:rPr>
              <w:lastRenderedPageBreak/>
              <w:t>caregivers. Jama, 2000, 284.19: 2460-2468.</w:t>
            </w:r>
          </w:p>
          <w:p w14:paraId="2B1A9B0E" w14:textId="77777777" w:rsidR="003F43EC" w:rsidRPr="00676303" w:rsidRDefault="003F43EC" w:rsidP="005B2359">
            <w:pPr>
              <w:pStyle w:val="ListParagraph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0" w:lineRule="atLeast"/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en-US"/>
              </w:rPr>
            </w:pPr>
            <w:proofErr w:type="spellStart"/>
            <w:r w:rsidRPr="00676303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en-US"/>
              </w:rPr>
              <w:t>Meisel</w:t>
            </w:r>
            <w:proofErr w:type="spellEnd"/>
            <w:r w:rsidRPr="00676303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en-US"/>
              </w:rPr>
              <w:t xml:space="preserve"> A., et al. Seven legal barriers to end-of-life care: myths, realities, and grains of truth. Jama, 2000, 284.19: 2495-2501.</w:t>
            </w:r>
          </w:p>
          <w:p w14:paraId="36BB2136" w14:textId="77777777" w:rsidR="003F43EC" w:rsidRPr="00676303" w:rsidRDefault="003F43EC" w:rsidP="005B2359">
            <w:pPr>
              <w:pStyle w:val="ListParagraph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0" w:lineRule="atLeast"/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en-US"/>
              </w:rPr>
            </w:pPr>
            <w:proofErr w:type="spellStart"/>
            <w:r w:rsidRPr="00676303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en-US"/>
              </w:rPr>
              <w:t>Piili</w:t>
            </w:r>
            <w:proofErr w:type="spellEnd"/>
            <w:r w:rsidRPr="00676303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en-US"/>
              </w:rPr>
              <w:t xml:space="preserve"> R. P., et al. Changes in attitudes towards hastened death among Finnish physicians over the past sixteen years. BMC medical ethics, 2018, 19.1: 40.</w:t>
            </w:r>
          </w:p>
          <w:p w14:paraId="43F5F640" w14:textId="77777777" w:rsidR="003F43EC" w:rsidRPr="00676303" w:rsidRDefault="003F43EC" w:rsidP="005B2359">
            <w:pPr>
              <w:pStyle w:val="ListParagraph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0" w:lineRule="atLeast"/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en-US"/>
              </w:rPr>
            </w:pPr>
            <w:r w:rsidRPr="00676303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en-US"/>
              </w:rPr>
              <w:t>Quill T. E.; Lo B.; Brock D. W. Palliative options of last resort: a comparison of voluntarily stopping eating and drinking, terminal sedation, physician-assisted suicide, and voluntary active euthanasia. In: Giving death a helping hand. Springer, Dordrecht, 2008. p. 49-64.</w:t>
            </w:r>
          </w:p>
          <w:p w14:paraId="41DF2C5E" w14:textId="5CADF4D2" w:rsidR="003F43EC" w:rsidRPr="00847D5A" w:rsidRDefault="003F43EC" w:rsidP="00847D5A">
            <w:pPr>
              <w:pStyle w:val="ListParagraph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0" w:lineRule="atLeast"/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en-US"/>
              </w:rPr>
            </w:pPr>
            <w:r w:rsidRPr="00676303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en-US"/>
              </w:rPr>
              <w:t>Rodríguez-Prat A, et al. Understanding patients’ experiences of the wish to hasten death: an updated and expanded systematic review and meta-ethnography. BMJ open, 2017, 7.9: e016659.</w:t>
            </w:r>
            <w:bookmarkStart w:id="0" w:name="_GoBack"/>
            <w:bookmarkEnd w:id="0"/>
          </w:p>
        </w:tc>
      </w:tr>
    </w:tbl>
    <w:p w14:paraId="7CACE3CA" w14:textId="77777777" w:rsidR="006F184C" w:rsidRDefault="006F184C"/>
    <w:sectPr w:rsidR="006F184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961940"/>
    <w:multiLevelType w:val="hybridMultilevel"/>
    <w:tmpl w:val="784ED682"/>
    <w:lvl w:ilvl="0" w:tplc="1EDE80E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F0B06D3"/>
    <w:multiLevelType w:val="hybridMultilevel"/>
    <w:tmpl w:val="784ED682"/>
    <w:lvl w:ilvl="0" w:tplc="1EDE80E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9755F9B"/>
    <w:multiLevelType w:val="hybridMultilevel"/>
    <w:tmpl w:val="576402B4"/>
    <w:lvl w:ilvl="0" w:tplc="1EDE80E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AA9722F"/>
    <w:multiLevelType w:val="hybridMultilevel"/>
    <w:tmpl w:val="576402B4"/>
    <w:lvl w:ilvl="0" w:tplc="1EDE80E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43EC"/>
    <w:rsid w:val="003F43EC"/>
    <w:rsid w:val="006F184C"/>
    <w:rsid w:val="00847D5A"/>
    <w:rsid w:val="00E43F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AE58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F43EC"/>
    <w:rPr>
      <w:rFonts w:ascii="Calibri" w:eastAsia="Calibri" w:hAnsi="Calibri" w:cs="Times New Roman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F43EC"/>
    <w:pPr>
      <w:spacing w:after="200" w:line="276" w:lineRule="auto"/>
      <w:ind w:left="720"/>
      <w:contextualSpacing/>
    </w:pPr>
    <w:rPr>
      <w:lang w:val="ro-RO"/>
    </w:rPr>
  </w:style>
  <w:style w:type="character" w:styleId="Hyperlink">
    <w:name w:val="Hyperlink"/>
    <w:basedOn w:val="DefaultParagraphFont"/>
    <w:uiPriority w:val="99"/>
    <w:unhideWhenUsed/>
    <w:rsid w:val="003F43EC"/>
    <w:rPr>
      <w:color w:val="0563C1" w:themeColor="hyperlink"/>
      <w:u w:val="single"/>
    </w:rPr>
  </w:style>
  <w:style w:type="character" w:customStyle="1" w:styleId="cit">
    <w:name w:val="cit"/>
    <w:basedOn w:val="DefaultParagraphFont"/>
    <w:rsid w:val="003F43EC"/>
  </w:style>
  <w:style w:type="paragraph" w:styleId="BalloonText">
    <w:name w:val="Balloon Text"/>
    <w:basedOn w:val="Normal"/>
    <w:link w:val="BalloonTextChar"/>
    <w:uiPriority w:val="99"/>
    <w:semiHidden/>
    <w:unhideWhenUsed/>
    <w:rsid w:val="00847D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47D5A"/>
    <w:rPr>
      <w:rFonts w:ascii="Tahoma" w:eastAsia="Calibri" w:hAnsi="Tahoma" w:cs="Tahoma"/>
      <w:sz w:val="16"/>
      <w:szCs w:val="16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F43EC"/>
    <w:rPr>
      <w:rFonts w:ascii="Calibri" w:eastAsia="Calibri" w:hAnsi="Calibri" w:cs="Times New Roman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F43EC"/>
    <w:pPr>
      <w:spacing w:after="200" w:line="276" w:lineRule="auto"/>
      <w:ind w:left="720"/>
      <w:contextualSpacing/>
    </w:pPr>
    <w:rPr>
      <w:lang w:val="ro-RO"/>
    </w:rPr>
  </w:style>
  <w:style w:type="character" w:styleId="Hyperlink">
    <w:name w:val="Hyperlink"/>
    <w:basedOn w:val="DefaultParagraphFont"/>
    <w:uiPriority w:val="99"/>
    <w:unhideWhenUsed/>
    <w:rsid w:val="003F43EC"/>
    <w:rPr>
      <w:color w:val="0563C1" w:themeColor="hyperlink"/>
      <w:u w:val="single"/>
    </w:rPr>
  </w:style>
  <w:style w:type="character" w:customStyle="1" w:styleId="cit">
    <w:name w:val="cit"/>
    <w:basedOn w:val="DefaultParagraphFont"/>
    <w:rsid w:val="003F43EC"/>
  </w:style>
  <w:style w:type="paragraph" w:styleId="BalloonText">
    <w:name w:val="Balloon Text"/>
    <w:basedOn w:val="Normal"/>
    <w:link w:val="BalloonTextChar"/>
    <w:uiPriority w:val="99"/>
    <w:semiHidden/>
    <w:unhideWhenUsed/>
    <w:rsid w:val="00847D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47D5A"/>
    <w:rPr>
      <w:rFonts w:ascii="Tahoma" w:eastAsia="Calibri" w:hAnsi="Tahoma" w:cs="Tahoma"/>
      <w:sz w:val="16"/>
      <w:szCs w:val="16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13" Type="http://schemas.openxmlformats.org/officeDocument/2006/relationships/hyperlink" Target="https://www.ncbi.nlm.nih.gov/pubmed/?term=Munyoro%20E%5BAuthor%5D&amp;cauthor=true&amp;cauthor_uid=27898287" TargetMode="External"/><Relationship Id="rId18" Type="http://schemas.openxmlformats.org/officeDocument/2006/relationships/hyperlink" Target="https://www.ncbi.nlm.nih.gov/pubmed/?term=Pereira%20J%5BAuthor%5D&amp;cauthor=true&amp;cauthor_uid=21505588" TargetMode="External"/><Relationship Id="rId26" Type="http://schemas.openxmlformats.org/officeDocument/2006/relationships/theme" Target="theme/theme1.xml"/><Relationship Id="rId3" Type="http://schemas.microsoft.com/office/2007/relationships/stylesWithEffects" Target="stylesWithEffects.xml"/><Relationship Id="rId21" Type="http://schemas.openxmlformats.org/officeDocument/2006/relationships/hyperlink" Target="https://www.ncbi.nlm.nih.gov/pubmed/?term=Brennan%20F%5BAuthor%5D&amp;cauthor=true&amp;cauthor_uid=17482036" TargetMode="External"/><Relationship Id="rId7" Type="http://schemas.openxmlformats.org/officeDocument/2006/relationships/hyperlink" Target="https://www.ncbi.nlm.nih.gov/pubmed/?term=De%20Lima%20L%5BAuthor%5D&amp;cauthor=true&amp;cauthor_uid=27898287" TargetMode="External"/><Relationship Id="rId12" Type="http://schemas.openxmlformats.org/officeDocument/2006/relationships/hyperlink" Target="https://www.ncbi.nlm.nih.gov/pubmed/?term=Buitrago%20R%5BAuthor%5D&amp;cauthor=true&amp;cauthor_uid=27898287" TargetMode="External"/><Relationship Id="rId17" Type="http://schemas.openxmlformats.org/officeDocument/2006/relationships/hyperlink" Target="https://www.ncbi.nlm.nih.gov/pmc/articles/PMC5177996/" TargetMode="External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www.ncbi.nlm.nih.gov/pubmed/?term=Radbruch%20L%5BAuthor%5D&amp;cauthor=true&amp;cauthor_uid=27898287" TargetMode="External"/><Relationship Id="rId20" Type="http://schemas.openxmlformats.org/officeDocument/2006/relationships/hyperlink" Target="https://www.ncbi.nlm.nih.gov/pmc/articles/PMC3070710/" TargetMode="External"/><Relationship Id="rId1" Type="http://schemas.openxmlformats.org/officeDocument/2006/relationships/numbering" Target="numbering.xml"/><Relationship Id="rId6" Type="http://schemas.openxmlformats.org/officeDocument/2006/relationships/hyperlink" Target="http://www.eapcnet.eu/LinkClick.aspx?fileticket=28Vb6OIn9SQ%3D" TargetMode="External"/><Relationship Id="rId11" Type="http://schemas.openxmlformats.org/officeDocument/2006/relationships/hyperlink" Target="https://www.ncbi.nlm.nih.gov/pubmed/?term=Downing%20J%5BAuthor%5D&amp;cauthor=true&amp;cauthor_uid=27898287" TargetMode="External"/><Relationship Id="rId24" Type="http://schemas.openxmlformats.org/officeDocument/2006/relationships/hyperlink" Target="http://www.cancercontrol.info/wp-content/uploads/2014/08/116-121-Gwyther.pdf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ncbi.nlm.nih.gov/pubmed/?term=Bhatnagar%20S%5BAuthor%5D&amp;cauthor=true&amp;cauthor_uid=27898287" TargetMode="External"/><Relationship Id="rId23" Type="http://schemas.openxmlformats.org/officeDocument/2006/relationships/hyperlink" Target="http://www.eapcnet.eu/Portals/0/Clinical/Publications/EJPC22%283%29Schmidlin.pdf" TargetMode="External"/><Relationship Id="rId10" Type="http://schemas.openxmlformats.org/officeDocument/2006/relationships/hyperlink" Target="https://www.ncbi.nlm.nih.gov/pubmed/?term=Pettus%20K%5BAuthor%5D&amp;cauthor=true&amp;cauthor_uid=27898287" TargetMode="External"/><Relationship Id="rId19" Type="http://schemas.openxmlformats.org/officeDocument/2006/relationships/hyperlink" Target="https://www.ncbi.nlm.nih.gov/pmc/articles/PMC3070710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ncbi.nlm.nih.gov/pubmed/?term=Woodruff%20R%5BAuthor%5D&amp;cauthor=true&amp;cauthor_uid=27898287" TargetMode="External"/><Relationship Id="rId14" Type="http://schemas.openxmlformats.org/officeDocument/2006/relationships/hyperlink" Target="https://www.ncbi.nlm.nih.gov/pubmed/?term=Venkateswaran%20C%5BAuthor%5D&amp;cauthor=true&amp;cauthor_uid=27898287" TargetMode="External"/><Relationship Id="rId22" Type="http://schemas.openxmlformats.org/officeDocument/2006/relationships/hyperlink" Target="https://www.ncbi.nlm.nih.gov/pubmed/1748203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843</Words>
  <Characters>4811</Characters>
  <Application>Microsoft Office Word</Application>
  <DocSecurity>0</DocSecurity>
  <Lines>40</Lines>
  <Paragraphs>11</Paragraphs>
  <ScaleCrop>false</ScaleCrop>
  <Company/>
  <LinksUpToDate>false</LinksUpToDate>
  <CharactersWithSpaces>5643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Liliana Stanciulescu</dc:creator>
  <cp:keywords/>
  <dc:description/>
  <cp:lastModifiedBy>Karen Charnley</cp:lastModifiedBy>
  <cp:revision>3</cp:revision>
  <dcterms:created xsi:type="dcterms:W3CDTF">2020-02-17T12:09:00Z</dcterms:created>
  <dcterms:modified xsi:type="dcterms:W3CDTF">2020-02-19T14:18:00Z</dcterms:modified>
</cp:coreProperties>
</file>