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7339"/>
      </w:tblGrid>
      <w:tr w:rsidR="00B00648" w:rsidRPr="00395646" w14:paraId="46FD8C23" w14:textId="77777777" w:rsidTr="00FC2324">
        <w:tc>
          <w:tcPr>
            <w:tcW w:w="9406" w:type="dxa"/>
            <w:gridSpan w:val="2"/>
            <w:shd w:val="clear" w:color="auto" w:fill="DBE5F1" w:themeFill="accent1" w:themeFillTint="33"/>
          </w:tcPr>
          <w:p w14:paraId="19615B70" w14:textId="47D46B54" w:rsidR="00B00648" w:rsidRPr="00395646" w:rsidRDefault="00B00648" w:rsidP="00FC2324">
            <w:pPr>
              <w:jc w:val="center"/>
              <w:rPr>
                <w:rFonts w:cs="Calibri"/>
                <w:b/>
                <w:i/>
                <w:sz w:val="20"/>
                <w:szCs w:val="20"/>
                <w:lang w:val="en-US"/>
              </w:rPr>
            </w:pPr>
            <w:r w:rsidRPr="00395646">
              <w:rPr>
                <w:rFonts w:cs="Calibri"/>
                <w:b/>
                <w:i/>
                <w:sz w:val="20"/>
                <w:szCs w:val="20"/>
                <w:lang w:val="en-US"/>
              </w:rPr>
              <w:t xml:space="preserve">Lesson Plan </w:t>
            </w:r>
          </w:p>
        </w:tc>
      </w:tr>
      <w:tr w:rsidR="004413A8" w:rsidRPr="00395646" w14:paraId="2457D60F" w14:textId="77777777" w:rsidTr="00FC2324">
        <w:tc>
          <w:tcPr>
            <w:tcW w:w="2067" w:type="dxa"/>
            <w:shd w:val="clear" w:color="auto" w:fill="DBE5F1" w:themeFill="accent1" w:themeFillTint="33"/>
          </w:tcPr>
          <w:p w14:paraId="07F5FA41" w14:textId="77777777" w:rsidR="004413A8" w:rsidRPr="00395646" w:rsidRDefault="004413A8" w:rsidP="004413A8">
            <w:pPr>
              <w:rPr>
                <w:rFonts w:cs="Calibri"/>
                <w:b/>
                <w:sz w:val="20"/>
                <w:szCs w:val="20"/>
                <w:lang w:val="en-US"/>
              </w:rPr>
            </w:pPr>
            <w:r w:rsidRPr="00395646">
              <w:rPr>
                <w:rFonts w:cs="Calibri"/>
                <w:b/>
                <w:sz w:val="20"/>
                <w:szCs w:val="20"/>
                <w:lang w:val="en-US"/>
              </w:rPr>
              <w:t>Teaching Unit</w:t>
            </w:r>
          </w:p>
        </w:tc>
        <w:tc>
          <w:tcPr>
            <w:tcW w:w="7339" w:type="dxa"/>
            <w:shd w:val="clear" w:color="auto" w:fill="auto"/>
          </w:tcPr>
          <w:p w14:paraId="028E336F" w14:textId="112B15DF" w:rsidR="004413A8" w:rsidRPr="00395646" w:rsidRDefault="004413A8" w:rsidP="004413A8">
            <w:pPr>
              <w:rPr>
                <w:rFonts w:cs="Calibri"/>
                <w:sz w:val="20"/>
                <w:szCs w:val="20"/>
                <w:lang w:val="en-US"/>
              </w:rPr>
            </w:pPr>
            <w:r w:rsidRPr="00395646">
              <w:rPr>
                <w:rFonts w:cs="Calibri"/>
                <w:sz w:val="20"/>
                <w:szCs w:val="20"/>
                <w:lang w:val="en-US"/>
              </w:rPr>
              <w:t>Teamwork</w:t>
            </w:r>
          </w:p>
        </w:tc>
      </w:tr>
      <w:tr w:rsidR="004413A8" w:rsidRPr="00395646" w14:paraId="23F9F9A7" w14:textId="77777777" w:rsidTr="00FC2324">
        <w:tc>
          <w:tcPr>
            <w:tcW w:w="2067" w:type="dxa"/>
            <w:shd w:val="clear" w:color="auto" w:fill="DBE5F1" w:themeFill="accent1" w:themeFillTint="33"/>
          </w:tcPr>
          <w:p w14:paraId="58BBC1C9" w14:textId="77777777" w:rsidR="004413A8" w:rsidRPr="00395646" w:rsidRDefault="004413A8" w:rsidP="004413A8">
            <w:pPr>
              <w:rPr>
                <w:rFonts w:cs="Calibri"/>
                <w:b/>
                <w:sz w:val="20"/>
                <w:szCs w:val="20"/>
                <w:lang w:val="en-US"/>
              </w:rPr>
            </w:pPr>
            <w:r w:rsidRPr="00395646">
              <w:rPr>
                <w:rFonts w:cs="Calibri"/>
                <w:b/>
                <w:sz w:val="20"/>
                <w:szCs w:val="20"/>
                <w:lang w:val="en-US"/>
              </w:rPr>
              <w:t>Title</w:t>
            </w:r>
          </w:p>
        </w:tc>
        <w:tc>
          <w:tcPr>
            <w:tcW w:w="7339" w:type="dxa"/>
            <w:shd w:val="clear" w:color="auto" w:fill="auto"/>
          </w:tcPr>
          <w:p w14:paraId="36061FAD" w14:textId="3C65EBE4" w:rsidR="004413A8" w:rsidRPr="00395646" w:rsidRDefault="004413A8" w:rsidP="004413A8">
            <w:pPr>
              <w:rPr>
                <w:rFonts w:cs="Calibri"/>
                <w:sz w:val="20"/>
                <w:szCs w:val="20"/>
                <w:lang w:val="en-US"/>
              </w:rPr>
            </w:pPr>
            <w:r w:rsidRPr="00395646">
              <w:rPr>
                <w:rFonts w:cs="Calibri"/>
                <w:sz w:val="20"/>
                <w:szCs w:val="20"/>
                <w:lang w:val="en-US"/>
              </w:rPr>
              <w:t>Palliative Care Teamwork and Team dynamics</w:t>
            </w:r>
          </w:p>
        </w:tc>
      </w:tr>
      <w:tr w:rsidR="004413A8" w:rsidRPr="00395646" w14:paraId="5BE5E0A5" w14:textId="77777777" w:rsidTr="00FC2324">
        <w:tc>
          <w:tcPr>
            <w:tcW w:w="2067" w:type="dxa"/>
            <w:shd w:val="clear" w:color="auto" w:fill="DBE5F1" w:themeFill="accent1" w:themeFillTint="33"/>
          </w:tcPr>
          <w:p w14:paraId="47EB5249" w14:textId="77777777" w:rsidR="004413A8" w:rsidRPr="00395646" w:rsidRDefault="004413A8" w:rsidP="004413A8">
            <w:pPr>
              <w:rPr>
                <w:rFonts w:cs="Calibri"/>
                <w:b/>
                <w:sz w:val="20"/>
                <w:szCs w:val="20"/>
                <w:lang w:val="en-US"/>
              </w:rPr>
            </w:pPr>
            <w:r w:rsidRPr="00395646">
              <w:rPr>
                <w:rFonts w:cs="Calibri"/>
                <w:b/>
                <w:sz w:val="20"/>
                <w:szCs w:val="20"/>
                <w:lang w:val="en-US"/>
              </w:rPr>
              <w:t>Learning Outcome (Link to EAPC Recommendation)</w:t>
            </w:r>
          </w:p>
        </w:tc>
        <w:tc>
          <w:tcPr>
            <w:tcW w:w="7339" w:type="dxa"/>
            <w:shd w:val="clear" w:color="auto" w:fill="auto"/>
          </w:tcPr>
          <w:p w14:paraId="29C09376" w14:textId="6AC544C3" w:rsidR="004413A8" w:rsidRPr="00395646" w:rsidRDefault="004B6A74" w:rsidP="004413A8">
            <w:pPr>
              <w:rPr>
                <w:rFonts w:cs="Calibri"/>
                <w:sz w:val="20"/>
                <w:szCs w:val="20"/>
                <w:lang w:val="en-US"/>
              </w:rPr>
            </w:pPr>
            <w:r w:rsidRPr="00395646">
              <w:rPr>
                <w:rFonts w:cs="Calibri"/>
                <w:sz w:val="20"/>
                <w:szCs w:val="20"/>
                <w:lang w:val="en-US"/>
              </w:rPr>
              <w:t>At the end of this teaching session the students will be able to recognize palliative care teamwork holistic approach, the role of each team member according to their expertise area, and how to provide feedback.</w:t>
            </w:r>
          </w:p>
        </w:tc>
      </w:tr>
      <w:tr w:rsidR="004413A8" w:rsidRPr="00395646" w14:paraId="3C345961" w14:textId="77777777" w:rsidTr="00FC2324">
        <w:tc>
          <w:tcPr>
            <w:tcW w:w="2067" w:type="dxa"/>
            <w:shd w:val="clear" w:color="auto" w:fill="DBE5F1" w:themeFill="accent1" w:themeFillTint="33"/>
          </w:tcPr>
          <w:p w14:paraId="1CE7FE6C" w14:textId="77777777" w:rsidR="004413A8" w:rsidRPr="00395646" w:rsidRDefault="004413A8" w:rsidP="004413A8">
            <w:pPr>
              <w:rPr>
                <w:rFonts w:cs="Calibri"/>
                <w:b/>
                <w:sz w:val="20"/>
                <w:szCs w:val="20"/>
                <w:lang w:val="en-US"/>
              </w:rPr>
            </w:pPr>
            <w:r w:rsidRPr="00395646">
              <w:rPr>
                <w:rFonts w:cs="Calibri"/>
                <w:b/>
                <w:sz w:val="20"/>
                <w:szCs w:val="20"/>
                <w:lang w:val="en-US"/>
              </w:rPr>
              <w:t xml:space="preserve">Summary </w:t>
            </w:r>
          </w:p>
        </w:tc>
        <w:tc>
          <w:tcPr>
            <w:tcW w:w="7339" w:type="dxa"/>
            <w:shd w:val="clear" w:color="auto" w:fill="auto"/>
          </w:tcPr>
          <w:p w14:paraId="0B183EF8" w14:textId="612B91F1" w:rsidR="004413A8" w:rsidRPr="00395646" w:rsidRDefault="004413A8" w:rsidP="004B6A74">
            <w:pPr>
              <w:jc w:val="both"/>
              <w:rPr>
                <w:rFonts w:cs="Calibri"/>
                <w:sz w:val="20"/>
                <w:szCs w:val="20"/>
                <w:lang w:val="en-US"/>
              </w:rPr>
            </w:pPr>
            <w:r w:rsidRPr="00395646">
              <w:rPr>
                <w:rFonts w:asciiTheme="minorHAnsi" w:hAnsiTheme="minorHAnsi" w:cstheme="minorHAnsi"/>
                <w:sz w:val="20"/>
                <w:szCs w:val="20"/>
                <w:lang w:val="en-US"/>
              </w:rPr>
              <w:t xml:space="preserve">Palliative Care good practices are based on interdisciplinary work and multidisciplinary teams. The patient cantered approach of this specialty is leaded by the holistic care provided both patient and caregivers.  All team members all able to provide physical, psychological, social, and spiritual support, but also there are </w:t>
            </w:r>
            <w:r w:rsidR="004B6A74" w:rsidRPr="00395646">
              <w:rPr>
                <w:rFonts w:asciiTheme="minorHAnsi" w:hAnsiTheme="minorHAnsi" w:cstheme="minorHAnsi"/>
                <w:sz w:val="20"/>
                <w:szCs w:val="20"/>
                <w:lang w:val="en-US"/>
              </w:rPr>
              <w:t>professionals with more advanced skills in one of those specific areas, so is important to know when and how provide support and also when to open the entrance to other team members.</w:t>
            </w:r>
          </w:p>
        </w:tc>
      </w:tr>
      <w:tr w:rsidR="004413A8" w:rsidRPr="00395646" w14:paraId="4DAB4C7F" w14:textId="77777777" w:rsidTr="00FC2324">
        <w:tc>
          <w:tcPr>
            <w:tcW w:w="2067" w:type="dxa"/>
            <w:shd w:val="clear" w:color="auto" w:fill="DBE5F1" w:themeFill="accent1" w:themeFillTint="33"/>
          </w:tcPr>
          <w:p w14:paraId="3F55BB4D" w14:textId="77777777" w:rsidR="004413A8" w:rsidRPr="00395646" w:rsidRDefault="004413A8" w:rsidP="004413A8">
            <w:pPr>
              <w:rPr>
                <w:rFonts w:cs="Calibri"/>
                <w:b/>
                <w:sz w:val="20"/>
                <w:szCs w:val="20"/>
                <w:lang w:val="en-US"/>
              </w:rPr>
            </w:pPr>
            <w:r w:rsidRPr="00395646">
              <w:rPr>
                <w:rFonts w:cs="Calibri"/>
                <w:b/>
                <w:sz w:val="20"/>
                <w:szCs w:val="20"/>
                <w:lang w:val="en-US"/>
              </w:rPr>
              <w:t>Learning Objectives</w:t>
            </w:r>
          </w:p>
          <w:p w14:paraId="56FF4360" w14:textId="77777777" w:rsidR="004413A8" w:rsidRPr="00395646" w:rsidRDefault="004413A8" w:rsidP="004413A8">
            <w:pPr>
              <w:rPr>
                <w:rFonts w:cs="Calibri"/>
                <w:b/>
                <w:sz w:val="20"/>
                <w:szCs w:val="20"/>
                <w:lang w:val="en-US"/>
              </w:rPr>
            </w:pPr>
            <w:r w:rsidRPr="00395646">
              <w:rPr>
                <w:rFonts w:cs="Calibri"/>
                <w:b/>
                <w:sz w:val="20"/>
                <w:szCs w:val="20"/>
                <w:lang w:val="en-US"/>
              </w:rPr>
              <w:t>A – Attitudes</w:t>
            </w:r>
          </w:p>
          <w:p w14:paraId="19C8A1E1" w14:textId="77777777" w:rsidR="004413A8" w:rsidRPr="00395646" w:rsidRDefault="004413A8" w:rsidP="004413A8">
            <w:pPr>
              <w:rPr>
                <w:rFonts w:cs="Calibri"/>
                <w:b/>
                <w:sz w:val="20"/>
                <w:szCs w:val="20"/>
                <w:lang w:val="en-US"/>
              </w:rPr>
            </w:pPr>
            <w:r w:rsidRPr="00395646">
              <w:rPr>
                <w:rFonts w:cs="Calibri"/>
                <w:b/>
                <w:sz w:val="20"/>
                <w:szCs w:val="20"/>
                <w:lang w:val="en-US"/>
              </w:rPr>
              <w:t xml:space="preserve">C- Cognition  </w:t>
            </w:r>
          </w:p>
          <w:p w14:paraId="40F6ECB6" w14:textId="77777777" w:rsidR="004413A8" w:rsidRPr="00395646" w:rsidRDefault="004413A8" w:rsidP="004413A8">
            <w:pPr>
              <w:rPr>
                <w:rFonts w:cs="Calibri"/>
                <w:b/>
                <w:sz w:val="20"/>
                <w:szCs w:val="20"/>
                <w:lang w:val="en-US"/>
              </w:rPr>
            </w:pPr>
            <w:r w:rsidRPr="00395646">
              <w:rPr>
                <w:rFonts w:cs="Calibri"/>
                <w:b/>
                <w:sz w:val="20"/>
                <w:szCs w:val="20"/>
                <w:lang w:val="en-US"/>
              </w:rPr>
              <w:t>S – Skills</w:t>
            </w:r>
          </w:p>
        </w:tc>
        <w:tc>
          <w:tcPr>
            <w:tcW w:w="7339" w:type="dxa"/>
            <w:shd w:val="clear" w:color="auto" w:fill="auto"/>
          </w:tcPr>
          <w:p w14:paraId="105E27EB" w14:textId="77777777" w:rsidR="004B6A74" w:rsidRPr="00395646" w:rsidRDefault="004B6A74" w:rsidP="00FC2324">
            <w:pPr>
              <w:spacing w:after="0" w:line="240" w:lineRule="auto"/>
              <w:rPr>
                <w:rFonts w:asciiTheme="minorHAnsi" w:hAnsiTheme="minorHAnsi" w:cstheme="minorHAnsi"/>
                <w:sz w:val="20"/>
                <w:szCs w:val="20"/>
                <w:lang w:val="en-US"/>
              </w:rPr>
            </w:pPr>
            <w:r w:rsidRPr="00395646">
              <w:rPr>
                <w:rFonts w:asciiTheme="minorHAnsi" w:hAnsiTheme="minorHAnsi" w:cstheme="minorHAnsi"/>
                <w:sz w:val="20"/>
                <w:szCs w:val="20"/>
                <w:lang w:val="en-US"/>
              </w:rPr>
              <w:t>Attitudes</w:t>
            </w:r>
          </w:p>
          <w:p w14:paraId="57E7F949" w14:textId="0BC4AC63" w:rsidR="004B6A74" w:rsidRPr="00395646" w:rsidRDefault="007B2FAE" w:rsidP="00FC2324">
            <w:pPr>
              <w:pStyle w:val="ListParagraph"/>
              <w:numPr>
                <w:ilvl w:val="0"/>
                <w:numId w:val="10"/>
              </w:numPr>
              <w:spacing w:after="0" w:line="240" w:lineRule="auto"/>
              <w:rPr>
                <w:rFonts w:asciiTheme="minorHAnsi" w:eastAsia="Times New Roman" w:hAnsiTheme="minorHAnsi" w:cstheme="minorHAnsi"/>
                <w:color w:val="000000"/>
                <w:sz w:val="20"/>
                <w:szCs w:val="20"/>
                <w:lang w:val="en-US" w:eastAsia="en-GB"/>
              </w:rPr>
            </w:pPr>
            <w:r w:rsidRPr="00395646">
              <w:rPr>
                <w:rFonts w:asciiTheme="minorHAnsi" w:eastAsia="Times New Roman" w:hAnsiTheme="minorHAnsi" w:cstheme="minorHAnsi"/>
                <w:color w:val="000000"/>
                <w:sz w:val="20"/>
                <w:szCs w:val="20"/>
                <w:lang w:val="en-US" w:eastAsia="en-GB"/>
              </w:rPr>
              <w:t>The students will u</w:t>
            </w:r>
            <w:r w:rsidR="004B6A74" w:rsidRPr="00395646">
              <w:rPr>
                <w:rFonts w:asciiTheme="minorHAnsi" w:eastAsia="Times New Roman" w:hAnsiTheme="minorHAnsi" w:cstheme="minorHAnsi"/>
                <w:color w:val="000000"/>
                <w:sz w:val="20"/>
                <w:szCs w:val="20"/>
                <w:lang w:val="en-US" w:eastAsia="en-GB"/>
              </w:rPr>
              <w:t>nderstand how attitude influences the team and team members in a positive or a negative way</w:t>
            </w:r>
          </w:p>
          <w:p w14:paraId="336E03EC" w14:textId="77777777" w:rsidR="004B6A74" w:rsidRPr="00395646" w:rsidRDefault="004B6A74" w:rsidP="00FC2324">
            <w:pPr>
              <w:spacing w:after="0" w:line="240" w:lineRule="auto"/>
              <w:rPr>
                <w:rFonts w:asciiTheme="minorHAnsi" w:eastAsia="Times New Roman" w:hAnsiTheme="minorHAnsi" w:cstheme="minorHAnsi"/>
                <w:color w:val="000000"/>
                <w:sz w:val="20"/>
                <w:szCs w:val="20"/>
                <w:lang w:val="en-US" w:eastAsia="en-GB"/>
              </w:rPr>
            </w:pPr>
            <w:r w:rsidRPr="00395646">
              <w:rPr>
                <w:rFonts w:asciiTheme="minorHAnsi" w:eastAsia="Times New Roman" w:hAnsiTheme="minorHAnsi" w:cstheme="minorHAnsi"/>
                <w:color w:val="000000"/>
                <w:sz w:val="20"/>
                <w:szCs w:val="20"/>
                <w:lang w:val="en-US" w:eastAsia="en-GB"/>
              </w:rPr>
              <w:t>Cognition</w:t>
            </w:r>
          </w:p>
          <w:p w14:paraId="62FD6E91" w14:textId="7AC372FF" w:rsidR="004B6A74" w:rsidRPr="00395646" w:rsidRDefault="007B2FAE" w:rsidP="00FC2324">
            <w:pPr>
              <w:pStyle w:val="ListParagraph"/>
              <w:numPr>
                <w:ilvl w:val="0"/>
                <w:numId w:val="10"/>
              </w:numPr>
              <w:spacing w:after="0" w:line="240" w:lineRule="auto"/>
              <w:rPr>
                <w:rFonts w:asciiTheme="minorHAnsi" w:eastAsia="Times New Roman" w:hAnsiTheme="minorHAnsi" w:cstheme="minorHAnsi"/>
                <w:color w:val="000000"/>
                <w:sz w:val="20"/>
                <w:szCs w:val="20"/>
                <w:lang w:val="en-US" w:eastAsia="en-GB"/>
              </w:rPr>
            </w:pPr>
            <w:r w:rsidRPr="00395646">
              <w:rPr>
                <w:rFonts w:asciiTheme="minorHAnsi" w:eastAsia="Times New Roman" w:hAnsiTheme="minorHAnsi" w:cstheme="minorHAnsi"/>
                <w:color w:val="000000"/>
                <w:sz w:val="20"/>
                <w:szCs w:val="20"/>
                <w:lang w:val="en-US" w:eastAsia="en-GB"/>
              </w:rPr>
              <w:t>The students will u</w:t>
            </w:r>
            <w:r w:rsidR="004B6A74" w:rsidRPr="00395646">
              <w:rPr>
                <w:rFonts w:asciiTheme="minorHAnsi" w:eastAsia="Times New Roman" w:hAnsiTheme="minorHAnsi" w:cstheme="minorHAnsi"/>
                <w:color w:val="000000"/>
                <w:sz w:val="20"/>
                <w:szCs w:val="20"/>
                <w:lang w:val="en-US" w:eastAsia="en-GB"/>
              </w:rPr>
              <w:t xml:space="preserve">nderstand that PC </w:t>
            </w:r>
            <w:r w:rsidRPr="00395646">
              <w:rPr>
                <w:rFonts w:asciiTheme="minorHAnsi" w:eastAsia="Times New Roman" w:hAnsiTheme="minorHAnsi" w:cstheme="minorHAnsi"/>
                <w:color w:val="000000"/>
                <w:sz w:val="20"/>
                <w:szCs w:val="20"/>
                <w:lang w:val="en-US" w:eastAsia="en-GB"/>
              </w:rPr>
              <w:t>team’s</w:t>
            </w:r>
            <w:r w:rsidR="004B6A74" w:rsidRPr="00395646">
              <w:rPr>
                <w:rFonts w:asciiTheme="minorHAnsi" w:eastAsia="Times New Roman" w:hAnsiTheme="minorHAnsi" w:cstheme="minorHAnsi"/>
                <w:color w:val="000000"/>
                <w:sz w:val="20"/>
                <w:szCs w:val="20"/>
                <w:lang w:val="en-US" w:eastAsia="en-GB"/>
              </w:rPr>
              <w:t xml:space="preserve"> dynamic is based on interdisciplinarity</w:t>
            </w:r>
          </w:p>
          <w:p w14:paraId="45603CEA" w14:textId="1A8635AF" w:rsidR="004B6A74" w:rsidRPr="00395646" w:rsidRDefault="007B2FAE" w:rsidP="00FC2324">
            <w:pPr>
              <w:pStyle w:val="ListParagraph"/>
              <w:numPr>
                <w:ilvl w:val="0"/>
                <w:numId w:val="10"/>
              </w:numPr>
              <w:spacing w:after="0" w:line="240" w:lineRule="auto"/>
              <w:rPr>
                <w:rFonts w:asciiTheme="minorHAnsi" w:eastAsia="Times New Roman" w:hAnsiTheme="minorHAnsi" w:cstheme="minorHAnsi"/>
                <w:color w:val="000000"/>
                <w:sz w:val="20"/>
                <w:szCs w:val="20"/>
                <w:lang w:val="en-US" w:eastAsia="en-GB"/>
              </w:rPr>
            </w:pPr>
            <w:r w:rsidRPr="00395646">
              <w:rPr>
                <w:rFonts w:asciiTheme="minorHAnsi" w:eastAsia="Times New Roman" w:hAnsiTheme="minorHAnsi" w:cstheme="minorHAnsi"/>
                <w:color w:val="000000"/>
                <w:sz w:val="20"/>
                <w:szCs w:val="20"/>
                <w:lang w:val="en-US" w:eastAsia="en-GB"/>
              </w:rPr>
              <w:t>The students will recognize</w:t>
            </w:r>
            <w:r w:rsidR="004B6A74" w:rsidRPr="00395646">
              <w:rPr>
                <w:rFonts w:asciiTheme="minorHAnsi" w:eastAsia="Times New Roman" w:hAnsiTheme="minorHAnsi" w:cstheme="minorHAnsi"/>
                <w:color w:val="000000"/>
                <w:sz w:val="20"/>
                <w:szCs w:val="20"/>
                <w:lang w:val="en-US" w:eastAsia="en-GB"/>
              </w:rPr>
              <w:t xml:space="preserve"> the different professional roles and it complementarity in PC teams</w:t>
            </w:r>
          </w:p>
          <w:p w14:paraId="1F65AC48" w14:textId="77777777" w:rsidR="004B6A74" w:rsidRPr="00395646" w:rsidRDefault="007B2FAE" w:rsidP="00FC2324">
            <w:pPr>
              <w:spacing w:after="0" w:line="240" w:lineRule="auto"/>
              <w:rPr>
                <w:rFonts w:asciiTheme="minorHAnsi" w:hAnsiTheme="minorHAnsi" w:cstheme="minorHAnsi"/>
                <w:sz w:val="20"/>
                <w:szCs w:val="20"/>
                <w:lang w:val="en-US"/>
              </w:rPr>
            </w:pPr>
            <w:r w:rsidRPr="00395646">
              <w:rPr>
                <w:rFonts w:asciiTheme="minorHAnsi" w:hAnsiTheme="minorHAnsi" w:cstheme="minorHAnsi"/>
                <w:sz w:val="20"/>
                <w:szCs w:val="20"/>
                <w:lang w:val="en-US"/>
              </w:rPr>
              <w:t>Skills</w:t>
            </w:r>
          </w:p>
          <w:p w14:paraId="5BE3CFE4" w14:textId="2099892B" w:rsidR="007B2FAE" w:rsidRPr="00395646" w:rsidRDefault="007B2FAE" w:rsidP="00FC2324">
            <w:pPr>
              <w:pStyle w:val="ListParagraph"/>
              <w:numPr>
                <w:ilvl w:val="0"/>
                <w:numId w:val="11"/>
              </w:numPr>
              <w:spacing w:after="0" w:line="240" w:lineRule="auto"/>
              <w:rPr>
                <w:rFonts w:cs="Calibri"/>
                <w:sz w:val="20"/>
                <w:szCs w:val="20"/>
                <w:lang w:val="en-US"/>
              </w:rPr>
            </w:pPr>
            <w:r w:rsidRPr="00395646">
              <w:rPr>
                <w:rFonts w:asciiTheme="minorHAnsi" w:eastAsia="Times New Roman" w:hAnsiTheme="minorHAnsi" w:cstheme="minorHAnsi"/>
                <w:color w:val="000000"/>
                <w:sz w:val="20"/>
                <w:szCs w:val="20"/>
                <w:lang w:val="en-US" w:eastAsia="en-GB"/>
              </w:rPr>
              <w:t>The students will be able to provide and receive feedback</w:t>
            </w:r>
          </w:p>
        </w:tc>
      </w:tr>
      <w:tr w:rsidR="004413A8" w:rsidRPr="00395646" w14:paraId="18D30250" w14:textId="77777777" w:rsidTr="00FC2324">
        <w:tc>
          <w:tcPr>
            <w:tcW w:w="2067" w:type="dxa"/>
            <w:shd w:val="clear" w:color="auto" w:fill="DBE5F1" w:themeFill="accent1" w:themeFillTint="33"/>
          </w:tcPr>
          <w:p w14:paraId="3FA288D7" w14:textId="77777777" w:rsidR="004413A8" w:rsidRPr="00395646" w:rsidRDefault="004413A8" w:rsidP="004413A8">
            <w:pPr>
              <w:rPr>
                <w:rFonts w:cs="Calibri"/>
                <w:b/>
                <w:sz w:val="20"/>
                <w:szCs w:val="20"/>
                <w:lang w:val="en-US"/>
              </w:rPr>
            </w:pPr>
            <w:r w:rsidRPr="00395646">
              <w:rPr>
                <w:rFonts w:cs="Calibri"/>
                <w:b/>
                <w:sz w:val="20"/>
                <w:szCs w:val="20"/>
                <w:lang w:val="en-US"/>
              </w:rPr>
              <w:t>Learning Methods</w:t>
            </w:r>
          </w:p>
        </w:tc>
        <w:tc>
          <w:tcPr>
            <w:tcW w:w="7339" w:type="dxa"/>
            <w:shd w:val="clear" w:color="auto" w:fill="auto"/>
          </w:tcPr>
          <w:p w14:paraId="598116EE" w14:textId="0FCEFD93" w:rsidR="007B01F8" w:rsidRPr="00395646" w:rsidRDefault="007B01F8" w:rsidP="00FC2324">
            <w:pPr>
              <w:spacing w:after="0"/>
              <w:rPr>
                <w:rFonts w:cs="Calibri"/>
                <w:sz w:val="20"/>
                <w:szCs w:val="20"/>
                <w:lang w:val="en-US"/>
              </w:rPr>
            </w:pPr>
            <w:r w:rsidRPr="00395646">
              <w:rPr>
                <w:rFonts w:cs="Calibri"/>
                <w:sz w:val="20"/>
                <w:szCs w:val="20"/>
                <w:lang w:val="en-US"/>
              </w:rPr>
              <w:t>Team work learning</w:t>
            </w:r>
          </w:p>
          <w:p w14:paraId="59687EBD" w14:textId="74AB8A81" w:rsidR="007B01F8" w:rsidRPr="00395646" w:rsidRDefault="007B01F8" w:rsidP="00FC2324">
            <w:pPr>
              <w:spacing w:after="0"/>
              <w:rPr>
                <w:rFonts w:cs="Calibri"/>
                <w:sz w:val="20"/>
                <w:szCs w:val="20"/>
                <w:lang w:val="en-US"/>
              </w:rPr>
            </w:pPr>
            <w:r w:rsidRPr="00395646">
              <w:rPr>
                <w:rFonts w:cs="Calibri"/>
                <w:sz w:val="20"/>
                <w:szCs w:val="20"/>
                <w:lang w:val="en-US"/>
              </w:rPr>
              <w:t>Role play</w:t>
            </w:r>
          </w:p>
        </w:tc>
      </w:tr>
      <w:tr w:rsidR="004413A8" w:rsidRPr="00395646" w14:paraId="372612E2" w14:textId="77777777" w:rsidTr="00FC2324">
        <w:tc>
          <w:tcPr>
            <w:tcW w:w="2067" w:type="dxa"/>
            <w:shd w:val="clear" w:color="auto" w:fill="DBE5F1" w:themeFill="accent1" w:themeFillTint="33"/>
          </w:tcPr>
          <w:p w14:paraId="720C6EE2" w14:textId="77777777" w:rsidR="004413A8" w:rsidRPr="00395646" w:rsidRDefault="004413A8" w:rsidP="004413A8">
            <w:pPr>
              <w:rPr>
                <w:rFonts w:cs="Calibri"/>
                <w:b/>
                <w:sz w:val="20"/>
                <w:szCs w:val="20"/>
                <w:lang w:val="en-US"/>
              </w:rPr>
            </w:pPr>
            <w:r w:rsidRPr="00395646">
              <w:rPr>
                <w:rFonts w:cs="Calibri"/>
                <w:b/>
                <w:sz w:val="20"/>
                <w:szCs w:val="20"/>
                <w:lang w:val="en-US"/>
              </w:rPr>
              <w:t xml:space="preserve">Timing </w:t>
            </w:r>
          </w:p>
        </w:tc>
        <w:tc>
          <w:tcPr>
            <w:tcW w:w="7339" w:type="dxa"/>
            <w:shd w:val="clear" w:color="auto" w:fill="auto"/>
          </w:tcPr>
          <w:p w14:paraId="4DB77338" w14:textId="5B147F58" w:rsidR="004413A8" w:rsidRDefault="00395646" w:rsidP="00FC2324">
            <w:pPr>
              <w:spacing w:after="0"/>
              <w:rPr>
                <w:rFonts w:cs="Calibri"/>
                <w:sz w:val="20"/>
                <w:szCs w:val="20"/>
                <w:lang w:val="en-US"/>
              </w:rPr>
            </w:pPr>
            <w:r w:rsidRPr="00395646">
              <w:rPr>
                <w:rFonts w:cs="Calibri"/>
                <w:sz w:val="20"/>
                <w:szCs w:val="20"/>
                <w:lang w:val="en-US"/>
              </w:rPr>
              <w:t xml:space="preserve">Total time teaching unit: </w:t>
            </w:r>
            <w:r>
              <w:rPr>
                <w:rFonts w:cs="Calibri"/>
                <w:sz w:val="20"/>
                <w:szCs w:val="20"/>
                <w:lang w:val="en-US"/>
              </w:rPr>
              <w:t>2h</w:t>
            </w:r>
          </w:p>
          <w:p w14:paraId="3C66338D" w14:textId="56C5320E" w:rsidR="00395646" w:rsidRPr="00395646" w:rsidRDefault="00395646" w:rsidP="00395646">
            <w:pPr>
              <w:pStyle w:val="ListParagraph"/>
              <w:numPr>
                <w:ilvl w:val="0"/>
                <w:numId w:val="12"/>
              </w:numPr>
              <w:rPr>
                <w:rFonts w:cs="Calibri"/>
                <w:sz w:val="20"/>
                <w:szCs w:val="20"/>
                <w:lang w:val="en-US"/>
              </w:rPr>
            </w:pPr>
            <w:r>
              <w:rPr>
                <w:rFonts w:cs="Calibri"/>
                <w:sz w:val="20"/>
                <w:szCs w:val="20"/>
                <w:lang w:val="en-US"/>
              </w:rPr>
              <w:t>Teamwork learning:</w:t>
            </w:r>
          </w:p>
          <w:p w14:paraId="732B93FE" w14:textId="180BEFC5" w:rsidR="00196F6E" w:rsidRDefault="00196F6E" w:rsidP="00395646">
            <w:pPr>
              <w:pStyle w:val="ListParagraph"/>
              <w:numPr>
                <w:ilvl w:val="0"/>
                <w:numId w:val="11"/>
              </w:numPr>
              <w:rPr>
                <w:rFonts w:cs="Calibri"/>
                <w:sz w:val="20"/>
                <w:szCs w:val="20"/>
                <w:lang w:val="en-US"/>
              </w:rPr>
            </w:pPr>
            <w:r>
              <w:rPr>
                <w:rFonts w:cs="Calibri"/>
                <w:sz w:val="20"/>
                <w:szCs w:val="20"/>
                <w:lang w:val="en-US"/>
              </w:rPr>
              <w:t>Send in advance the theoretical materials so the students have read or studied it a bit (30 minutes work). We provide a power point that you can send in advance to the students as pdf for this. There is plenty of materials on line and you can send your own materials if it fits better to you.</w:t>
            </w:r>
          </w:p>
          <w:p w14:paraId="6D384C68" w14:textId="7907064B" w:rsidR="001632DE" w:rsidRDefault="00395646" w:rsidP="001632DE">
            <w:pPr>
              <w:pStyle w:val="ListParagraph"/>
              <w:numPr>
                <w:ilvl w:val="0"/>
                <w:numId w:val="11"/>
              </w:numPr>
              <w:rPr>
                <w:rFonts w:cs="Calibri"/>
                <w:sz w:val="20"/>
                <w:szCs w:val="20"/>
                <w:lang w:val="en-US"/>
              </w:rPr>
            </w:pPr>
            <w:r w:rsidRPr="00395646">
              <w:rPr>
                <w:rFonts w:cs="Calibri"/>
                <w:sz w:val="20"/>
                <w:szCs w:val="20"/>
                <w:lang w:val="en-US"/>
              </w:rPr>
              <w:t>Students</w:t>
            </w:r>
            <w:r>
              <w:rPr>
                <w:rFonts w:cs="Calibri"/>
                <w:sz w:val="20"/>
                <w:szCs w:val="20"/>
                <w:lang w:val="en-US"/>
              </w:rPr>
              <w:t xml:space="preserve"> divided in groups answer 10 test questions</w:t>
            </w:r>
            <w:r w:rsidR="00196F6E">
              <w:rPr>
                <w:rFonts w:cs="Calibri"/>
                <w:sz w:val="20"/>
                <w:szCs w:val="20"/>
                <w:lang w:val="en-US"/>
              </w:rPr>
              <w:t xml:space="preserve"> that we provide or the ones you prepare. They can respond it in ten minutes and then</w:t>
            </w:r>
            <w:r>
              <w:rPr>
                <w:rFonts w:cs="Calibri"/>
                <w:sz w:val="20"/>
                <w:szCs w:val="20"/>
                <w:lang w:val="en-US"/>
              </w:rPr>
              <w:t xml:space="preserve"> each group explain why they choose that option, teacher help to resolve doubts</w:t>
            </w:r>
            <w:r w:rsidR="00196F6E">
              <w:rPr>
                <w:rFonts w:cs="Calibri"/>
                <w:sz w:val="20"/>
                <w:szCs w:val="20"/>
                <w:lang w:val="en-US"/>
              </w:rPr>
              <w:t>. You can use the power point provided, the video materials provided or the materials you prepare to resolve students doubts.</w:t>
            </w:r>
          </w:p>
          <w:p w14:paraId="4AEE573D" w14:textId="77777777" w:rsidR="001632DE" w:rsidRDefault="001632DE" w:rsidP="001632DE">
            <w:pPr>
              <w:pStyle w:val="ListParagraph"/>
              <w:numPr>
                <w:ilvl w:val="0"/>
                <w:numId w:val="12"/>
              </w:numPr>
              <w:rPr>
                <w:rFonts w:cs="Calibri"/>
                <w:sz w:val="20"/>
                <w:szCs w:val="20"/>
                <w:lang w:val="en-US"/>
              </w:rPr>
            </w:pPr>
            <w:r w:rsidRPr="001632DE">
              <w:rPr>
                <w:rFonts w:cs="Calibri"/>
                <w:sz w:val="20"/>
                <w:szCs w:val="20"/>
                <w:lang w:val="en-US"/>
              </w:rPr>
              <w:t>Role pla</w:t>
            </w:r>
            <w:r>
              <w:rPr>
                <w:rFonts w:cs="Calibri"/>
                <w:sz w:val="20"/>
                <w:szCs w:val="20"/>
                <w:lang w:val="en-US"/>
              </w:rPr>
              <w:t>y:</w:t>
            </w:r>
          </w:p>
          <w:p w14:paraId="64DDB109" w14:textId="757176B6" w:rsidR="001632DE" w:rsidRDefault="001632DE" w:rsidP="001632DE">
            <w:pPr>
              <w:pStyle w:val="ListParagraph"/>
              <w:numPr>
                <w:ilvl w:val="0"/>
                <w:numId w:val="13"/>
              </w:numPr>
              <w:rPr>
                <w:rFonts w:cs="Calibri"/>
                <w:sz w:val="20"/>
                <w:szCs w:val="20"/>
                <w:lang w:val="en-US"/>
              </w:rPr>
            </w:pPr>
            <w:r>
              <w:rPr>
                <w:rFonts w:cs="Calibri"/>
                <w:sz w:val="20"/>
                <w:szCs w:val="20"/>
                <w:lang w:val="en-US"/>
              </w:rPr>
              <w:t>Feedback case scenario: each students team prepare it. At least one team perform in front of the whole group and teacher leads a discussion related to how to provide proper feedback.</w:t>
            </w:r>
          </w:p>
          <w:p w14:paraId="1CE40993" w14:textId="5EA11051" w:rsidR="00196F6E" w:rsidRDefault="00196F6E" w:rsidP="001632DE">
            <w:pPr>
              <w:pStyle w:val="ListParagraph"/>
              <w:numPr>
                <w:ilvl w:val="0"/>
                <w:numId w:val="13"/>
              </w:numPr>
              <w:rPr>
                <w:rFonts w:cs="Calibri"/>
                <w:sz w:val="20"/>
                <w:szCs w:val="20"/>
                <w:lang w:val="en-US"/>
              </w:rPr>
            </w:pPr>
            <w:r>
              <w:rPr>
                <w:rFonts w:cs="Calibri"/>
                <w:sz w:val="20"/>
                <w:szCs w:val="20"/>
                <w:lang w:val="en-US"/>
              </w:rPr>
              <w:t>We provide some feedback scenarios that you can use or use as an example to create your scenarios.</w:t>
            </w:r>
          </w:p>
          <w:p w14:paraId="6206BA4D" w14:textId="3377F85B" w:rsidR="00196F6E" w:rsidRPr="00196F6E" w:rsidRDefault="00196F6E" w:rsidP="00FC2324">
            <w:pPr>
              <w:pStyle w:val="ListParagraph"/>
              <w:numPr>
                <w:ilvl w:val="0"/>
                <w:numId w:val="12"/>
              </w:numPr>
              <w:spacing w:after="0"/>
              <w:ind w:left="714" w:hanging="357"/>
              <w:rPr>
                <w:rFonts w:cs="Calibri"/>
                <w:sz w:val="20"/>
                <w:szCs w:val="20"/>
                <w:lang w:val="en-US"/>
              </w:rPr>
            </w:pPr>
            <w:r>
              <w:rPr>
                <w:rFonts w:cs="Calibri"/>
                <w:sz w:val="20"/>
                <w:szCs w:val="20"/>
                <w:lang w:val="en-US"/>
              </w:rPr>
              <w:t xml:space="preserve">We provide an optional exercise, a reflective writing exercise that you can use to reinforce the </w:t>
            </w:r>
            <w:bookmarkStart w:id="0" w:name="_GoBack"/>
            <w:r>
              <w:rPr>
                <w:rFonts w:cs="Calibri"/>
                <w:sz w:val="20"/>
                <w:szCs w:val="20"/>
                <w:lang w:val="en-US"/>
              </w:rPr>
              <w:t>session if you think it is useful.</w:t>
            </w:r>
            <w:bookmarkEnd w:id="0"/>
          </w:p>
        </w:tc>
      </w:tr>
      <w:tr w:rsidR="004413A8" w:rsidRPr="00395646" w14:paraId="6C0F1755" w14:textId="77777777" w:rsidTr="00FC2324">
        <w:tc>
          <w:tcPr>
            <w:tcW w:w="2067" w:type="dxa"/>
            <w:shd w:val="clear" w:color="auto" w:fill="DBE5F1" w:themeFill="accent1" w:themeFillTint="33"/>
          </w:tcPr>
          <w:p w14:paraId="4AAF4C0E" w14:textId="77777777" w:rsidR="004413A8" w:rsidRPr="00395646" w:rsidRDefault="004413A8" w:rsidP="004413A8">
            <w:pPr>
              <w:rPr>
                <w:rFonts w:cs="Calibri"/>
                <w:b/>
                <w:sz w:val="20"/>
                <w:szCs w:val="20"/>
                <w:lang w:val="en-US"/>
              </w:rPr>
            </w:pPr>
            <w:r w:rsidRPr="00395646">
              <w:rPr>
                <w:rFonts w:cs="Calibri"/>
                <w:b/>
                <w:sz w:val="20"/>
                <w:szCs w:val="20"/>
                <w:lang w:val="en-US"/>
              </w:rPr>
              <w:t xml:space="preserve">Bibliography/Resources </w:t>
            </w:r>
          </w:p>
        </w:tc>
        <w:tc>
          <w:tcPr>
            <w:tcW w:w="7339" w:type="dxa"/>
            <w:shd w:val="clear" w:color="auto" w:fill="auto"/>
          </w:tcPr>
          <w:p w14:paraId="694DD12A" w14:textId="77777777" w:rsidR="007B6260" w:rsidRPr="007B6260" w:rsidRDefault="007B6260" w:rsidP="00FC2324">
            <w:pPr>
              <w:pStyle w:val="ListParagraph"/>
              <w:numPr>
                <w:ilvl w:val="0"/>
                <w:numId w:val="13"/>
              </w:numPr>
              <w:spacing w:after="0" w:line="240" w:lineRule="auto"/>
              <w:rPr>
                <w:rFonts w:ascii="Times New Roman" w:eastAsia="Times New Roman" w:hAnsi="Times New Roman"/>
                <w:lang w:val="es-ES"/>
              </w:rPr>
            </w:pPr>
            <w:r w:rsidRPr="007B6260">
              <w:rPr>
                <w:rFonts w:cs="Calibri"/>
                <w:sz w:val="20"/>
                <w:szCs w:val="20"/>
                <w:lang w:val="en-US"/>
              </w:rPr>
              <w:t xml:space="preserve">Head BA, et al. </w:t>
            </w:r>
            <w:r w:rsidR="00D506E7" w:rsidRPr="007B6260">
              <w:rPr>
                <w:rFonts w:cs="Calibri"/>
                <w:sz w:val="20"/>
                <w:szCs w:val="20"/>
                <w:lang w:val="en-US"/>
              </w:rPr>
              <w:t>Medicine as It Should Be: Teaching Team and Teamwork during a Palliative Care Clerkship</w:t>
            </w:r>
            <w:r w:rsidRPr="007B6260">
              <w:rPr>
                <w:rFonts w:cs="Calibri"/>
                <w:sz w:val="20"/>
                <w:szCs w:val="20"/>
                <w:lang w:val="en-US"/>
              </w:rPr>
              <w:t xml:space="preserve">. JPM 2010. Online 1 May 2018. </w:t>
            </w:r>
            <w:hyperlink r:id="rId8" w:history="1">
              <w:r w:rsidRPr="007B6260">
                <w:rPr>
                  <w:rStyle w:val="Hyperlink"/>
                  <w:rFonts w:ascii="Helvetica Neue" w:hAnsi="Helvetica Neue"/>
                  <w:sz w:val="21"/>
                  <w:szCs w:val="21"/>
                  <w:shd w:val="clear" w:color="auto" w:fill="FFFFFF"/>
                </w:rPr>
                <w:t>https://doi.org/10.1089/jpm.2017.0589</w:t>
              </w:r>
            </w:hyperlink>
          </w:p>
          <w:p w14:paraId="0DA2D165" w14:textId="6F764256" w:rsidR="007B6260" w:rsidRPr="007B6260" w:rsidRDefault="007B6260" w:rsidP="00FC2324">
            <w:pPr>
              <w:pStyle w:val="ListParagraph"/>
              <w:numPr>
                <w:ilvl w:val="0"/>
                <w:numId w:val="13"/>
              </w:numPr>
              <w:spacing w:after="0"/>
              <w:rPr>
                <w:rFonts w:cs="Calibri"/>
                <w:sz w:val="20"/>
                <w:szCs w:val="20"/>
                <w:lang w:val="en-US"/>
              </w:rPr>
            </w:pPr>
            <w:r>
              <w:rPr>
                <w:rFonts w:cs="Calibri"/>
                <w:sz w:val="20"/>
                <w:szCs w:val="20"/>
                <w:lang w:val="en-US"/>
              </w:rPr>
              <w:t>EXTREMIS: NETFLIX</w:t>
            </w:r>
          </w:p>
          <w:p w14:paraId="42059AC4" w14:textId="488738AE" w:rsidR="007B6260" w:rsidRPr="00FC2324" w:rsidRDefault="007B6260" w:rsidP="00FC2324">
            <w:pPr>
              <w:pStyle w:val="ListParagraph"/>
              <w:numPr>
                <w:ilvl w:val="0"/>
                <w:numId w:val="13"/>
              </w:numPr>
              <w:spacing w:after="0"/>
              <w:rPr>
                <w:rFonts w:cs="Calibri"/>
                <w:sz w:val="20"/>
                <w:szCs w:val="20"/>
                <w:lang w:val="en-US"/>
              </w:rPr>
            </w:pPr>
            <w:r>
              <w:rPr>
                <w:rFonts w:cs="Calibri"/>
                <w:sz w:val="20"/>
                <w:szCs w:val="20"/>
                <w:lang w:val="en-US"/>
              </w:rPr>
              <w:t xml:space="preserve">Feedback card Dalhousie University: </w:t>
            </w:r>
            <w:hyperlink r:id="rId9" w:history="1">
              <w:r w:rsidR="00854653" w:rsidRPr="00E06BD0">
                <w:rPr>
                  <w:rStyle w:val="Hyperlink"/>
                  <w:rFonts w:cs="Calibri"/>
                  <w:sz w:val="20"/>
                  <w:szCs w:val="20"/>
                  <w:lang w:val="en-US"/>
                </w:rPr>
                <w:t>https://cdn.dal.ca/content/dam/dalhousie/pdf/faculty/medicine/departments/core-units/DME/comm-skills/card_feedback.pdf</w:t>
              </w:r>
            </w:hyperlink>
          </w:p>
        </w:tc>
      </w:tr>
      <w:tr w:rsidR="004413A8" w:rsidRPr="00395646" w14:paraId="66C7255B" w14:textId="77777777" w:rsidTr="00FC2324">
        <w:tc>
          <w:tcPr>
            <w:tcW w:w="2067" w:type="dxa"/>
            <w:shd w:val="clear" w:color="auto" w:fill="DBE5F1" w:themeFill="accent1" w:themeFillTint="33"/>
          </w:tcPr>
          <w:p w14:paraId="19FF18AF" w14:textId="77777777" w:rsidR="004413A8" w:rsidRPr="00395646" w:rsidRDefault="004413A8" w:rsidP="004413A8">
            <w:pPr>
              <w:rPr>
                <w:rFonts w:cs="Calibri"/>
                <w:b/>
                <w:sz w:val="20"/>
                <w:szCs w:val="20"/>
                <w:lang w:val="en-US"/>
              </w:rPr>
            </w:pPr>
            <w:r w:rsidRPr="00395646">
              <w:rPr>
                <w:rFonts w:cs="Calibri"/>
                <w:b/>
                <w:sz w:val="20"/>
                <w:szCs w:val="20"/>
                <w:lang w:val="en-US"/>
              </w:rPr>
              <w:lastRenderedPageBreak/>
              <w:t xml:space="preserve">Assessment </w:t>
            </w:r>
          </w:p>
        </w:tc>
        <w:tc>
          <w:tcPr>
            <w:tcW w:w="7339" w:type="dxa"/>
            <w:shd w:val="clear" w:color="auto" w:fill="auto"/>
          </w:tcPr>
          <w:p w14:paraId="1EC69C79" w14:textId="73ED398E" w:rsidR="001632DE" w:rsidRPr="007B6260" w:rsidRDefault="001632DE" w:rsidP="00FC2324">
            <w:pPr>
              <w:spacing w:after="0"/>
              <w:rPr>
                <w:rFonts w:asciiTheme="minorHAnsi" w:eastAsia="Times New Roman" w:hAnsiTheme="minorHAnsi" w:cstheme="minorHAnsi"/>
                <w:sz w:val="20"/>
                <w:szCs w:val="20"/>
                <w:lang w:val="en-US" w:eastAsia="en-GB"/>
              </w:rPr>
            </w:pPr>
            <w:r w:rsidRPr="007B6260">
              <w:rPr>
                <w:rFonts w:asciiTheme="minorHAnsi" w:eastAsia="Times New Roman" w:hAnsiTheme="minorHAnsi" w:cstheme="minorHAnsi"/>
                <w:sz w:val="20"/>
                <w:szCs w:val="20"/>
                <w:lang w:val="en-US" w:eastAsia="en-GB"/>
              </w:rPr>
              <w:t>Choose one option</w:t>
            </w:r>
          </w:p>
          <w:p w14:paraId="17C0DEC7" w14:textId="111CF3EE" w:rsidR="001632DE" w:rsidRPr="007B6260" w:rsidRDefault="001632DE" w:rsidP="00FC2324">
            <w:pPr>
              <w:pStyle w:val="ListParagraph"/>
              <w:numPr>
                <w:ilvl w:val="0"/>
                <w:numId w:val="13"/>
              </w:numPr>
              <w:spacing w:after="0"/>
              <w:rPr>
                <w:rFonts w:asciiTheme="minorHAnsi" w:eastAsia="Times New Roman" w:hAnsiTheme="minorHAnsi" w:cstheme="minorHAnsi"/>
                <w:sz w:val="20"/>
                <w:szCs w:val="20"/>
                <w:lang w:val="en-US" w:eastAsia="en-GB"/>
              </w:rPr>
            </w:pPr>
            <w:r w:rsidRPr="007B6260">
              <w:rPr>
                <w:rFonts w:asciiTheme="minorHAnsi" w:eastAsia="Times New Roman" w:hAnsiTheme="minorHAnsi" w:cstheme="minorHAnsi"/>
                <w:sz w:val="20"/>
                <w:szCs w:val="20"/>
                <w:lang w:val="en-US" w:eastAsia="en-GB"/>
              </w:rPr>
              <w:t>Situational judgement test based on an online teamwork situation</w:t>
            </w:r>
          </w:p>
          <w:p w14:paraId="6A62AE57" w14:textId="7CAD087C" w:rsidR="004413A8" w:rsidRPr="00FC2324" w:rsidRDefault="001632DE" w:rsidP="00FC2324">
            <w:pPr>
              <w:pStyle w:val="ListParagraph"/>
              <w:numPr>
                <w:ilvl w:val="0"/>
                <w:numId w:val="13"/>
              </w:numPr>
              <w:spacing w:after="0"/>
              <w:rPr>
                <w:rFonts w:asciiTheme="minorHAnsi" w:eastAsia="Times New Roman" w:hAnsiTheme="minorHAnsi" w:cstheme="minorHAnsi"/>
                <w:sz w:val="20"/>
                <w:szCs w:val="20"/>
                <w:lang w:val="en-US" w:eastAsia="en-GB"/>
              </w:rPr>
            </w:pPr>
            <w:r w:rsidRPr="007B6260">
              <w:rPr>
                <w:rFonts w:asciiTheme="minorHAnsi" w:eastAsia="Times New Roman" w:hAnsiTheme="minorHAnsi" w:cstheme="minorHAnsi"/>
                <w:sz w:val="20"/>
                <w:szCs w:val="20"/>
                <w:lang w:val="en-US" w:eastAsia="en-GB"/>
              </w:rPr>
              <w:t>Portfolio about and end-of-life situation during clerkships</w:t>
            </w:r>
          </w:p>
        </w:tc>
      </w:tr>
    </w:tbl>
    <w:p w14:paraId="00F10787" w14:textId="77777777" w:rsidR="00B00648" w:rsidRDefault="00B00648" w:rsidP="00194B31">
      <w:pPr>
        <w:rPr>
          <w:rFonts w:cs="Calibri"/>
          <w:sz w:val="20"/>
          <w:szCs w:val="20"/>
        </w:rPr>
      </w:pPr>
    </w:p>
    <w:p w14:paraId="6CBB7BB3" w14:textId="4EA84C27" w:rsidR="000900D0" w:rsidRPr="006E7D63" w:rsidRDefault="000900D0" w:rsidP="006E7D63">
      <w:pPr>
        <w:spacing w:after="200" w:line="276" w:lineRule="auto"/>
        <w:rPr>
          <w:rFonts w:cs="Calibri"/>
          <w:sz w:val="20"/>
          <w:szCs w:val="20"/>
        </w:rPr>
      </w:pPr>
    </w:p>
    <w:sectPr w:rsidR="000900D0" w:rsidRPr="006E7D63" w:rsidSect="000266A4">
      <w:footerReference w:type="default" r:id="rId10"/>
      <w:pgSz w:w="11906" w:h="16838"/>
      <w:pgMar w:top="1440" w:right="1276"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4DA281" w14:textId="77777777" w:rsidR="00746DDC" w:rsidRDefault="00746DDC" w:rsidP="00B46503">
      <w:pPr>
        <w:spacing w:after="0" w:line="240" w:lineRule="auto"/>
      </w:pPr>
      <w:r>
        <w:separator/>
      </w:r>
    </w:p>
  </w:endnote>
  <w:endnote w:type="continuationSeparator" w:id="0">
    <w:p w14:paraId="23F66436" w14:textId="77777777" w:rsidR="00746DDC" w:rsidRDefault="00746DDC" w:rsidP="00B46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94450" w14:textId="63D5CC83" w:rsidR="00DA157F" w:rsidRDefault="00DA157F" w:rsidP="00DA157F">
    <w:pPr>
      <w:pStyle w:val="Footer"/>
    </w:pPr>
    <w:r>
      <w:tab/>
    </w:r>
    <w:r>
      <w:tab/>
    </w:r>
    <w:r>
      <w:tab/>
    </w:r>
    <w:r>
      <w:fldChar w:fldCharType="begin"/>
    </w:r>
    <w:r>
      <w:instrText xml:space="preserve"> PAGE   \* MERGEFORMAT </w:instrText>
    </w:r>
    <w:r>
      <w:fldChar w:fldCharType="separate"/>
    </w:r>
    <w:r w:rsidR="00FC2324">
      <w:rPr>
        <w:noProof/>
      </w:rPr>
      <w:t>2</w:t>
    </w:r>
    <w:r>
      <w:rPr>
        <w:noProof/>
      </w:rPr>
      <w:fldChar w:fldCharType="end"/>
    </w:r>
  </w:p>
  <w:p w14:paraId="0B8EAF9F" w14:textId="77777777" w:rsidR="00DA157F" w:rsidRDefault="00DA15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C47501" w14:textId="77777777" w:rsidR="00746DDC" w:rsidRDefault="00746DDC" w:rsidP="00B46503">
      <w:pPr>
        <w:spacing w:after="0" w:line="240" w:lineRule="auto"/>
      </w:pPr>
      <w:r>
        <w:separator/>
      </w:r>
    </w:p>
  </w:footnote>
  <w:footnote w:type="continuationSeparator" w:id="0">
    <w:p w14:paraId="1D06502E" w14:textId="77777777" w:rsidR="00746DDC" w:rsidRDefault="00746DDC" w:rsidP="00B465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13786"/>
    <w:multiLevelType w:val="hybridMultilevel"/>
    <w:tmpl w:val="CA7A23F0"/>
    <w:lvl w:ilvl="0" w:tplc="04090001">
      <w:start w:val="1"/>
      <w:numFmt w:val="bullet"/>
      <w:lvlText w:val=""/>
      <w:lvlJc w:val="left"/>
      <w:pPr>
        <w:ind w:left="760" w:hanging="360"/>
      </w:pPr>
      <w:rPr>
        <w:rFonts w:ascii="Symbol" w:hAnsi="Symbol" w:hint="default"/>
      </w:rPr>
    </w:lvl>
    <w:lvl w:ilvl="1" w:tplc="04090003">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
    <w:nsid w:val="0EC300A6"/>
    <w:multiLevelType w:val="hybridMultilevel"/>
    <w:tmpl w:val="09FA1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ECE0CE0"/>
    <w:multiLevelType w:val="hybridMultilevel"/>
    <w:tmpl w:val="FC4EE528"/>
    <w:lvl w:ilvl="0" w:tplc="08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1061652"/>
    <w:multiLevelType w:val="hybridMultilevel"/>
    <w:tmpl w:val="0FCA26B0"/>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7">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81F56E5"/>
    <w:multiLevelType w:val="hybridMultilevel"/>
    <w:tmpl w:val="AE404C76"/>
    <w:lvl w:ilvl="0" w:tplc="A030EAFC">
      <w:start w:val="1"/>
      <w:numFmt w:val="bullet"/>
      <w:lvlText w:val="•"/>
      <w:lvlJc w:val="left"/>
      <w:pPr>
        <w:tabs>
          <w:tab w:val="num" w:pos="720"/>
        </w:tabs>
        <w:ind w:left="720" w:hanging="360"/>
      </w:pPr>
      <w:rPr>
        <w:rFonts w:ascii="Times New Roman" w:hAnsi="Times New Roman" w:hint="default"/>
      </w:rPr>
    </w:lvl>
    <w:lvl w:ilvl="1" w:tplc="55ACFBC0">
      <w:start w:val="1"/>
      <w:numFmt w:val="bullet"/>
      <w:lvlText w:val="•"/>
      <w:lvlJc w:val="left"/>
      <w:pPr>
        <w:tabs>
          <w:tab w:val="num" w:pos="1440"/>
        </w:tabs>
        <w:ind w:left="1440" w:hanging="360"/>
      </w:pPr>
      <w:rPr>
        <w:rFonts w:ascii="Times New Roman" w:hAnsi="Times New Roman" w:hint="default"/>
      </w:rPr>
    </w:lvl>
    <w:lvl w:ilvl="2" w:tplc="BDD09010" w:tentative="1">
      <w:start w:val="1"/>
      <w:numFmt w:val="bullet"/>
      <w:lvlText w:val="•"/>
      <w:lvlJc w:val="left"/>
      <w:pPr>
        <w:tabs>
          <w:tab w:val="num" w:pos="2160"/>
        </w:tabs>
        <w:ind w:left="2160" w:hanging="360"/>
      </w:pPr>
      <w:rPr>
        <w:rFonts w:ascii="Times New Roman" w:hAnsi="Times New Roman" w:hint="default"/>
      </w:rPr>
    </w:lvl>
    <w:lvl w:ilvl="3" w:tplc="3BAC8E00" w:tentative="1">
      <w:start w:val="1"/>
      <w:numFmt w:val="bullet"/>
      <w:lvlText w:val="•"/>
      <w:lvlJc w:val="left"/>
      <w:pPr>
        <w:tabs>
          <w:tab w:val="num" w:pos="2880"/>
        </w:tabs>
        <w:ind w:left="2880" w:hanging="360"/>
      </w:pPr>
      <w:rPr>
        <w:rFonts w:ascii="Times New Roman" w:hAnsi="Times New Roman" w:hint="default"/>
      </w:rPr>
    </w:lvl>
    <w:lvl w:ilvl="4" w:tplc="07BE87BE" w:tentative="1">
      <w:start w:val="1"/>
      <w:numFmt w:val="bullet"/>
      <w:lvlText w:val="•"/>
      <w:lvlJc w:val="left"/>
      <w:pPr>
        <w:tabs>
          <w:tab w:val="num" w:pos="3600"/>
        </w:tabs>
        <w:ind w:left="3600" w:hanging="360"/>
      </w:pPr>
      <w:rPr>
        <w:rFonts w:ascii="Times New Roman" w:hAnsi="Times New Roman" w:hint="default"/>
      </w:rPr>
    </w:lvl>
    <w:lvl w:ilvl="5" w:tplc="0658C4C4" w:tentative="1">
      <w:start w:val="1"/>
      <w:numFmt w:val="bullet"/>
      <w:lvlText w:val="•"/>
      <w:lvlJc w:val="left"/>
      <w:pPr>
        <w:tabs>
          <w:tab w:val="num" w:pos="4320"/>
        </w:tabs>
        <w:ind w:left="4320" w:hanging="360"/>
      </w:pPr>
      <w:rPr>
        <w:rFonts w:ascii="Times New Roman" w:hAnsi="Times New Roman" w:hint="default"/>
      </w:rPr>
    </w:lvl>
    <w:lvl w:ilvl="6" w:tplc="0924F708" w:tentative="1">
      <w:start w:val="1"/>
      <w:numFmt w:val="bullet"/>
      <w:lvlText w:val="•"/>
      <w:lvlJc w:val="left"/>
      <w:pPr>
        <w:tabs>
          <w:tab w:val="num" w:pos="5040"/>
        </w:tabs>
        <w:ind w:left="5040" w:hanging="360"/>
      </w:pPr>
      <w:rPr>
        <w:rFonts w:ascii="Times New Roman" w:hAnsi="Times New Roman" w:hint="default"/>
      </w:rPr>
    </w:lvl>
    <w:lvl w:ilvl="7" w:tplc="BA0CFA34" w:tentative="1">
      <w:start w:val="1"/>
      <w:numFmt w:val="bullet"/>
      <w:lvlText w:val="•"/>
      <w:lvlJc w:val="left"/>
      <w:pPr>
        <w:tabs>
          <w:tab w:val="num" w:pos="5760"/>
        </w:tabs>
        <w:ind w:left="5760" w:hanging="360"/>
      </w:pPr>
      <w:rPr>
        <w:rFonts w:ascii="Times New Roman" w:hAnsi="Times New Roman" w:hint="default"/>
      </w:rPr>
    </w:lvl>
    <w:lvl w:ilvl="8" w:tplc="395AAE9E" w:tentative="1">
      <w:start w:val="1"/>
      <w:numFmt w:val="bullet"/>
      <w:lvlText w:val="•"/>
      <w:lvlJc w:val="left"/>
      <w:pPr>
        <w:tabs>
          <w:tab w:val="num" w:pos="6480"/>
        </w:tabs>
        <w:ind w:left="6480" w:hanging="360"/>
      </w:pPr>
      <w:rPr>
        <w:rFonts w:ascii="Times New Roman" w:hAnsi="Times New Roman" w:hint="default"/>
      </w:rPr>
    </w:lvl>
  </w:abstractNum>
  <w:abstractNum w:abstractNumId="5">
    <w:nsid w:val="3CA003F7"/>
    <w:multiLevelType w:val="hybridMultilevel"/>
    <w:tmpl w:val="AE741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ED3751"/>
    <w:multiLevelType w:val="hybridMultilevel"/>
    <w:tmpl w:val="DE32C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867398"/>
    <w:multiLevelType w:val="hybridMultilevel"/>
    <w:tmpl w:val="43A8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480811"/>
    <w:multiLevelType w:val="hybridMultilevel"/>
    <w:tmpl w:val="5E2C2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5D4D59"/>
    <w:multiLevelType w:val="hybridMultilevel"/>
    <w:tmpl w:val="C9DC7336"/>
    <w:lvl w:ilvl="0" w:tplc="3B40864E">
      <w:start w:val="1"/>
      <w:numFmt w:val="decimal"/>
      <w:lvlText w:val="%1)"/>
      <w:lvlJc w:val="left"/>
      <w:pPr>
        <w:ind w:left="720" w:hanging="360"/>
      </w:pPr>
      <w:rPr>
        <w:rFonts w:ascii="Calibri" w:hAnsi="Calibri"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6AE4E37"/>
    <w:multiLevelType w:val="hybridMultilevel"/>
    <w:tmpl w:val="20AE0ECC"/>
    <w:lvl w:ilvl="0" w:tplc="04090019">
      <w:start w:val="1"/>
      <w:numFmt w:val="lowerLetter"/>
      <w:lvlText w:val="%1."/>
      <w:lvlJc w:val="left"/>
      <w:pPr>
        <w:tabs>
          <w:tab w:val="num" w:pos="1440"/>
        </w:tabs>
        <w:ind w:left="1440" w:hanging="360"/>
      </w:pPr>
    </w:lvl>
    <w:lvl w:ilvl="1" w:tplc="04090011">
      <w:start w:val="1"/>
      <w:numFmt w:val="decimal"/>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773202AC"/>
    <w:multiLevelType w:val="hybridMultilevel"/>
    <w:tmpl w:val="3D32F158"/>
    <w:lvl w:ilvl="0" w:tplc="02AA7D4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C113C6"/>
    <w:multiLevelType w:val="hybridMultilevel"/>
    <w:tmpl w:val="2396B662"/>
    <w:lvl w:ilvl="0" w:tplc="02AA7D4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0"/>
  </w:num>
  <w:num w:numId="4">
    <w:abstractNumId w:val="8"/>
  </w:num>
  <w:num w:numId="5">
    <w:abstractNumId w:val="5"/>
  </w:num>
  <w:num w:numId="6">
    <w:abstractNumId w:val="4"/>
  </w:num>
  <w:num w:numId="7">
    <w:abstractNumId w:val="10"/>
  </w:num>
  <w:num w:numId="8">
    <w:abstractNumId w:val="9"/>
  </w:num>
  <w:num w:numId="9">
    <w:abstractNumId w:val="3"/>
  </w:num>
  <w:num w:numId="10">
    <w:abstractNumId w:val="11"/>
  </w:num>
  <w:num w:numId="11">
    <w:abstractNumId w:val="12"/>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B31"/>
    <w:rsid w:val="000266A4"/>
    <w:rsid w:val="0007278F"/>
    <w:rsid w:val="000900D0"/>
    <w:rsid w:val="000A2270"/>
    <w:rsid w:val="000F3E3B"/>
    <w:rsid w:val="001632DE"/>
    <w:rsid w:val="00170BA3"/>
    <w:rsid w:val="00194B31"/>
    <w:rsid w:val="00196F6E"/>
    <w:rsid w:val="001A0147"/>
    <w:rsid w:val="001B208B"/>
    <w:rsid w:val="001B2BAE"/>
    <w:rsid w:val="00200F66"/>
    <w:rsid w:val="00287B69"/>
    <w:rsid w:val="00323780"/>
    <w:rsid w:val="00363DB9"/>
    <w:rsid w:val="00387DD6"/>
    <w:rsid w:val="00395646"/>
    <w:rsid w:val="003969BF"/>
    <w:rsid w:val="00423FDF"/>
    <w:rsid w:val="00432E0F"/>
    <w:rsid w:val="00435CC9"/>
    <w:rsid w:val="004413A8"/>
    <w:rsid w:val="004433C3"/>
    <w:rsid w:val="00446233"/>
    <w:rsid w:val="00466234"/>
    <w:rsid w:val="004B4242"/>
    <w:rsid w:val="004B6A74"/>
    <w:rsid w:val="00513AED"/>
    <w:rsid w:val="0052633C"/>
    <w:rsid w:val="00562666"/>
    <w:rsid w:val="00674C7B"/>
    <w:rsid w:val="0069529F"/>
    <w:rsid w:val="006A1056"/>
    <w:rsid w:val="006E7D63"/>
    <w:rsid w:val="00703EF0"/>
    <w:rsid w:val="00734FE1"/>
    <w:rsid w:val="00746DDC"/>
    <w:rsid w:val="007B01F8"/>
    <w:rsid w:val="007B2FAE"/>
    <w:rsid w:val="007B6260"/>
    <w:rsid w:val="007B6D98"/>
    <w:rsid w:val="00822208"/>
    <w:rsid w:val="00837273"/>
    <w:rsid w:val="00854653"/>
    <w:rsid w:val="008D62F8"/>
    <w:rsid w:val="00905235"/>
    <w:rsid w:val="00993F46"/>
    <w:rsid w:val="009A3022"/>
    <w:rsid w:val="00AF54BE"/>
    <w:rsid w:val="00AF63D3"/>
    <w:rsid w:val="00B00648"/>
    <w:rsid w:val="00B46503"/>
    <w:rsid w:val="00B7424A"/>
    <w:rsid w:val="00B7577F"/>
    <w:rsid w:val="00BE78F0"/>
    <w:rsid w:val="00D47576"/>
    <w:rsid w:val="00D506E7"/>
    <w:rsid w:val="00DA157F"/>
    <w:rsid w:val="00E71334"/>
    <w:rsid w:val="00EF0278"/>
    <w:rsid w:val="00F65DC4"/>
    <w:rsid w:val="00F70178"/>
    <w:rsid w:val="00FC2324"/>
    <w:rsid w:val="00FE3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F3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B31"/>
    <w:pPr>
      <w:spacing w:after="160" w:line="259"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94B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4B31"/>
    <w:rPr>
      <w:rFonts w:ascii="Calibri" w:eastAsia="Calibri" w:hAnsi="Calibri" w:cs="Times New Roman"/>
      <w:lang w:val="en-GB"/>
    </w:rPr>
  </w:style>
  <w:style w:type="paragraph" w:customStyle="1" w:styleId="Default">
    <w:name w:val="Default"/>
    <w:rsid w:val="00194B31"/>
    <w:pPr>
      <w:autoSpaceDE w:val="0"/>
      <w:autoSpaceDN w:val="0"/>
      <w:adjustRightInd w:val="0"/>
      <w:spacing w:after="0" w:line="240" w:lineRule="auto"/>
    </w:pPr>
    <w:rPr>
      <w:rFonts w:ascii="Symbol" w:eastAsia="Calibri" w:hAnsi="Symbol" w:cs="Symbol"/>
      <w:color w:val="000000"/>
      <w:sz w:val="24"/>
      <w:szCs w:val="24"/>
    </w:rPr>
  </w:style>
  <w:style w:type="character" w:customStyle="1" w:styleId="A7">
    <w:name w:val="A7"/>
    <w:uiPriority w:val="99"/>
    <w:rsid w:val="00194B31"/>
    <w:rPr>
      <w:color w:val="000000"/>
      <w:sz w:val="22"/>
      <w:szCs w:val="22"/>
    </w:rPr>
  </w:style>
  <w:style w:type="paragraph" w:styleId="ListParagraph">
    <w:name w:val="List Paragraph"/>
    <w:basedOn w:val="Normal"/>
    <w:uiPriority w:val="34"/>
    <w:qFormat/>
    <w:rsid w:val="00194B31"/>
    <w:pPr>
      <w:spacing w:after="200" w:line="276" w:lineRule="auto"/>
      <w:ind w:left="720"/>
      <w:contextualSpacing/>
    </w:pPr>
    <w:rPr>
      <w:lang w:val="ro-RO"/>
    </w:rPr>
  </w:style>
  <w:style w:type="character" w:styleId="Hyperlink">
    <w:name w:val="Hyperlink"/>
    <w:basedOn w:val="DefaultParagraphFont"/>
    <w:uiPriority w:val="99"/>
    <w:unhideWhenUsed/>
    <w:rsid w:val="00DA157F"/>
    <w:rPr>
      <w:color w:val="0000FF" w:themeColor="hyperlink"/>
      <w:u w:val="single"/>
    </w:rPr>
  </w:style>
  <w:style w:type="character" w:customStyle="1" w:styleId="UnresolvedMention">
    <w:name w:val="Unresolved Mention"/>
    <w:basedOn w:val="DefaultParagraphFont"/>
    <w:uiPriority w:val="99"/>
    <w:semiHidden/>
    <w:unhideWhenUsed/>
    <w:rsid w:val="007B6260"/>
    <w:rPr>
      <w:color w:val="605E5C"/>
      <w:shd w:val="clear" w:color="auto" w:fill="E1DFDD"/>
    </w:rPr>
  </w:style>
  <w:style w:type="paragraph" w:styleId="Header">
    <w:name w:val="header"/>
    <w:basedOn w:val="Normal"/>
    <w:link w:val="HeaderChar"/>
    <w:uiPriority w:val="99"/>
    <w:unhideWhenUsed/>
    <w:rsid w:val="00FC23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2324"/>
    <w:rPr>
      <w:rFonts w:ascii="Calibri" w:eastAsia="Calibri" w:hAnsi="Calibri" w:cs="Times New Roma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B31"/>
    <w:pPr>
      <w:spacing w:after="160" w:line="259"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94B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4B31"/>
    <w:rPr>
      <w:rFonts w:ascii="Calibri" w:eastAsia="Calibri" w:hAnsi="Calibri" w:cs="Times New Roman"/>
      <w:lang w:val="en-GB"/>
    </w:rPr>
  </w:style>
  <w:style w:type="paragraph" w:customStyle="1" w:styleId="Default">
    <w:name w:val="Default"/>
    <w:rsid w:val="00194B31"/>
    <w:pPr>
      <w:autoSpaceDE w:val="0"/>
      <w:autoSpaceDN w:val="0"/>
      <w:adjustRightInd w:val="0"/>
      <w:spacing w:after="0" w:line="240" w:lineRule="auto"/>
    </w:pPr>
    <w:rPr>
      <w:rFonts w:ascii="Symbol" w:eastAsia="Calibri" w:hAnsi="Symbol" w:cs="Symbol"/>
      <w:color w:val="000000"/>
      <w:sz w:val="24"/>
      <w:szCs w:val="24"/>
    </w:rPr>
  </w:style>
  <w:style w:type="character" w:customStyle="1" w:styleId="A7">
    <w:name w:val="A7"/>
    <w:uiPriority w:val="99"/>
    <w:rsid w:val="00194B31"/>
    <w:rPr>
      <w:color w:val="000000"/>
      <w:sz w:val="22"/>
      <w:szCs w:val="22"/>
    </w:rPr>
  </w:style>
  <w:style w:type="paragraph" w:styleId="ListParagraph">
    <w:name w:val="List Paragraph"/>
    <w:basedOn w:val="Normal"/>
    <w:uiPriority w:val="34"/>
    <w:qFormat/>
    <w:rsid w:val="00194B31"/>
    <w:pPr>
      <w:spacing w:after="200" w:line="276" w:lineRule="auto"/>
      <w:ind w:left="720"/>
      <w:contextualSpacing/>
    </w:pPr>
    <w:rPr>
      <w:lang w:val="ro-RO"/>
    </w:rPr>
  </w:style>
  <w:style w:type="character" w:styleId="Hyperlink">
    <w:name w:val="Hyperlink"/>
    <w:basedOn w:val="DefaultParagraphFont"/>
    <w:uiPriority w:val="99"/>
    <w:unhideWhenUsed/>
    <w:rsid w:val="00DA157F"/>
    <w:rPr>
      <w:color w:val="0000FF" w:themeColor="hyperlink"/>
      <w:u w:val="single"/>
    </w:rPr>
  </w:style>
  <w:style w:type="character" w:customStyle="1" w:styleId="UnresolvedMention">
    <w:name w:val="Unresolved Mention"/>
    <w:basedOn w:val="DefaultParagraphFont"/>
    <w:uiPriority w:val="99"/>
    <w:semiHidden/>
    <w:unhideWhenUsed/>
    <w:rsid w:val="007B6260"/>
    <w:rPr>
      <w:color w:val="605E5C"/>
      <w:shd w:val="clear" w:color="auto" w:fill="E1DFDD"/>
    </w:rPr>
  </w:style>
  <w:style w:type="paragraph" w:styleId="Header">
    <w:name w:val="header"/>
    <w:basedOn w:val="Normal"/>
    <w:link w:val="HeaderChar"/>
    <w:uiPriority w:val="99"/>
    <w:unhideWhenUsed/>
    <w:rsid w:val="00FC23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2324"/>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8684787">
      <w:bodyDiv w:val="1"/>
      <w:marLeft w:val="0"/>
      <w:marRight w:val="0"/>
      <w:marTop w:val="0"/>
      <w:marBottom w:val="0"/>
      <w:divBdr>
        <w:top w:val="none" w:sz="0" w:space="0" w:color="auto"/>
        <w:left w:val="none" w:sz="0" w:space="0" w:color="auto"/>
        <w:bottom w:val="none" w:sz="0" w:space="0" w:color="auto"/>
        <w:right w:val="none" w:sz="0" w:space="0" w:color="auto"/>
      </w:divBdr>
    </w:div>
    <w:div w:id="195089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1089/jpm.2017.0589"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dn.dal.ca/content/dam/dalhousie/pdf/faculty/medicine/departments/core-units/DME/comm-skills/card_feedback.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475</Words>
  <Characters>2709</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daniela.mosoiu</dc:creator>
  <cp:lastModifiedBy>Karen Charnley</cp:lastModifiedBy>
  <cp:revision>3</cp:revision>
  <dcterms:created xsi:type="dcterms:W3CDTF">2019-06-26T10:15:00Z</dcterms:created>
  <dcterms:modified xsi:type="dcterms:W3CDTF">2020-02-19T14:38:00Z</dcterms:modified>
</cp:coreProperties>
</file>