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796"/>
      </w:tblGrid>
      <w:tr w:rsidR="009410EF" w:rsidRPr="00676303" w14:paraId="61D6587B" w14:textId="77777777" w:rsidTr="005B2359">
        <w:tc>
          <w:tcPr>
            <w:tcW w:w="9209" w:type="dxa"/>
            <w:gridSpan w:val="2"/>
            <w:shd w:val="clear" w:color="auto" w:fill="D9E2F3" w:themeFill="accent1" w:themeFillTint="33"/>
          </w:tcPr>
          <w:p w14:paraId="0D49C34F" w14:textId="77777777" w:rsidR="009410EF" w:rsidRPr="00676303" w:rsidRDefault="009410EF" w:rsidP="005B2359">
            <w:pPr>
              <w:spacing w:after="0" w:line="20" w:lineRule="atLeast"/>
              <w:jc w:val="center"/>
              <w:rPr>
                <w:rFonts w:asciiTheme="minorHAnsi" w:hAnsiTheme="minorHAnsi" w:cs="Calibri"/>
                <w:b/>
                <w:i/>
                <w:sz w:val="20"/>
                <w:szCs w:val="20"/>
                <w:lang w:val="en-US"/>
              </w:rPr>
            </w:pPr>
            <w:r w:rsidRPr="00676303">
              <w:rPr>
                <w:rFonts w:asciiTheme="minorHAnsi" w:hAnsiTheme="minorHAnsi" w:cs="Calibri"/>
                <w:b/>
                <w:i/>
                <w:sz w:val="20"/>
                <w:szCs w:val="20"/>
                <w:lang w:val="en-US"/>
              </w:rPr>
              <w:t xml:space="preserve">Lesson Plan </w:t>
            </w:r>
          </w:p>
        </w:tc>
      </w:tr>
      <w:tr w:rsidR="009410EF" w:rsidRPr="00676303" w14:paraId="70CAF208" w14:textId="77777777" w:rsidTr="005B2359">
        <w:tc>
          <w:tcPr>
            <w:tcW w:w="1413" w:type="dxa"/>
            <w:shd w:val="clear" w:color="auto" w:fill="D9E2F3" w:themeFill="accent1" w:themeFillTint="33"/>
          </w:tcPr>
          <w:p w14:paraId="770D5C05" w14:textId="77777777" w:rsidR="009410EF" w:rsidRPr="00676303" w:rsidRDefault="009410EF"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Topic</w:t>
            </w:r>
          </w:p>
        </w:tc>
        <w:tc>
          <w:tcPr>
            <w:tcW w:w="7796" w:type="dxa"/>
            <w:shd w:val="clear" w:color="auto" w:fill="auto"/>
          </w:tcPr>
          <w:p w14:paraId="569016E3" w14:textId="77777777" w:rsidR="009410EF" w:rsidRPr="00676303" w:rsidRDefault="009410EF"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Psychosocial and Spiritual Aspects</w:t>
            </w:r>
          </w:p>
        </w:tc>
      </w:tr>
      <w:tr w:rsidR="009410EF" w:rsidRPr="00676303" w14:paraId="7EFD53EC" w14:textId="77777777" w:rsidTr="005B2359">
        <w:tc>
          <w:tcPr>
            <w:tcW w:w="1413" w:type="dxa"/>
            <w:shd w:val="clear" w:color="auto" w:fill="D9E2F3" w:themeFill="accent1" w:themeFillTint="33"/>
          </w:tcPr>
          <w:p w14:paraId="34B40881" w14:textId="77777777" w:rsidR="009410EF" w:rsidRPr="00676303" w:rsidRDefault="009410EF"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Title</w:t>
            </w:r>
          </w:p>
        </w:tc>
        <w:tc>
          <w:tcPr>
            <w:tcW w:w="7796" w:type="dxa"/>
            <w:shd w:val="clear" w:color="auto" w:fill="auto"/>
          </w:tcPr>
          <w:p w14:paraId="79B71068" w14:textId="77777777" w:rsidR="009410EF" w:rsidRPr="00676303" w:rsidRDefault="009410EF"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Psychosocial Care.</w:t>
            </w:r>
          </w:p>
        </w:tc>
      </w:tr>
      <w:tr w:rsidR="009410EF" w:rsidRPr="00676303" w14:paraId="56313FCD" w14:textId="77777777" w:rsidTr="005B2359">
        <w:tc>
          <w:tcPr>
            <w:tcW w:w="1413" w:type="dxa"/>
            <w:shd w:val="clear" w:color="auto" w:fill="D9E2F3" w:themeFill="accent1" w:themeFillTint="33"/>
          </w:tcPr>
          <w:p w14:paraId="57898589" w14:textId="77777777" w:rsidR="009410EF" w:rsidRPr="00676303" w:rsidRDefault="009410EF"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Learning Outcome </w:t>
            </w:r>
          </w:p>
        </w:tc>
        <w:tc>
          <w:tcPr>
            <w:tcW w:w="7796" w:type="dxa"/>
            <w:shd w:val="clear" w:color="auto" w:fill="auto"/>
          </w:tcPr>
          <w:p w14:paraId="51D4BBE6" w14:textId="77777777" w:rsidR="009410EF" w:rsidRPr="00676303" w:rsidRDefault="009410EF" w:rsidP="005B2359">
            <w:pPr>
              <w:spacing w:after="0" w:line="20" w:lineRule="atLeast"/>
              <w:rPr>
                <w:rFonts w:eastAsia="Times New Roman" w:cs="Calibri"/>
                <w:color w:val="000000"/>
                <w:sz w:val="20"/>
                <w:szCs w:val="20"/>
                <w:lang w:val="en-US" w:eastAsia="en-GB"/>
              </w:rPr>
            </w:pPr>
            <w:r w:rsidRPr="00676303">
              <w:rPr>
                <w:rFonts w:eastAsia="Times New Roman" w:cs="Calibri"/>
                <w:color w:val="000000"/>
                <w:sz w:val="20"/>
                <w:szCs w:val="20"/>
                <w:lang w:val="en-US" w:eastAsia="en-GB"/>
              </w:rPr>
              <w:t>Understand the impact of disease on psychological and social functioning for patients (and their families) with chronic illness.</w:t>
            </w:r>
          </w:p>
          <w:p w14:paraId="69394C4E" w14:textId="77777777" w:rsidR="009410EF" w:rsidRPr="00676303" w:rsidRDefault="009410EF" w:rsidP="005B2359">
            <w:pPr>
              <w:spacing w:after="0" w:line="20" w:lineRule="atLeast"/>
              <w:rPr>
                <w:rFonts w:asciiTheme="minorHAnsi" w:hAnsiTheme="minorHAnsi" w:cs="Calibri"/>
                <w:sz w:val="20"/>
                <w:szCs w:val="20"/>
                <w:lang w:val="en-US"/>
              </w:rPr>
            </w:pPr>
          </w:p>
        </w:tc>
      </w:tr>
      <w:tr w:rsidR="009410EF" w:rsidRPr="00676303" w14:paraId="33D04CC9" w14:textId="77777777" w:rsidTr="005B2359">
        <w:tc>
          <w:tcPr>
            <w:tcW w:w="1413" w:type="dxa"/>
            <w:shd w:val="clear" w:color="auto" w:fill="D9E2F3" w:themeFill="accent1" w:themeFillTint="33"/>
          </w:tcPr>
          <w:p w14:paraId="3A6971CA" w14:textId="77777777" w:rsidR="009410EF" w:rsidRPr="00676303" w:rsidRDefault="009410EF"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Summary </w:t>
            </w:r>
          </w:p>
        </w:tc>
        <w:tc>
          <w:tcPr>
            <w:tcW w:w="7796" w:type="dxa"/>
            <w:shd w:val="clear" w:color="auto" w:fill="auto"/>
          </w:tcPr>
          <w:p w14:paraId="7A3F35CF" w14:textId="77777777" w:rsidR="009410EF" w:rsidRPr="00676303" w:rsidRDefault="009410EF" w:rsidP="005B2359">
            <w:pPr>
              <w:spacing w:after="0" w:line="20" w:lineRule="atLeast"/>
              <w:rPr>
                <w:rFonts w:asciiTheme="minorHAnsi" w:hAnsiTheme="minorHAnsi"/>
                <w:sz w:val="20"/>
                <w:szCs w:val="20"/>
                <w:lang w:val="en-US"/>
              </w:rPr>
            </w:pPr>
            <w:r w:rsidRPr="00676303">
              <w:rPr>
                <w:rFonts w:asciiTheme="minorHAnsi" w:hAnsiTheme="minorHAnsi"/>
                <w:sz w:val="20"/>
                <w:szCs w:val="20"/>
                <w:lang w:val="en-US"/>
              </w:rPr>
              <w:t>Doctors have an important role in supporting patients and families as they adjust to a life-limiting or terminal diagnosis. This includes showing empathy and compassion as patients and families experience emotional turmoil, deal with transitions of care and adapt to loss and change. This also includes addressing concerns regarding practical and financial issues at the end of life.</w:t>
            </w:r>
          </w:p>
          <w:p w14:paraId="660047D3" w14:textId="77777777" w:rsidR="009410EF" w:rsidRPr="00676303" w:rsidRDefault="009410EF" w:rsidP="005B2359">
            <w:pPr>
              <w:spacing w:after="0" w:line="20" w:lineRule="atLeast"/>
              <w:rPr>
                <w:rFonts w:asciiTheme="minorHAnsi" w:hAnsiTheme="minorHAnsi" w:cs="Calibri"/>
                <w:sz w:val="20"/>
                <w:szCs w:val="20"/>
                <w:lang w:val="en-US"/>
              </w:rPr>
            </w:pPr>
            <w:r w:rsidRPr="00676303">
              <w:rPr>
                <w:rFonts w:asciiTheme="minorHAnsi" w:hAnsiTheme="minorHAnsi"/>
                <w:sz w:val="20"/>
                <w:szCs w:val="20"/>
                <w:lang w:val="en-US"/>
              </w:rPr>
              <w:t xml:space="preserve">Culture is an important factor in determining how individuals experience and express pain, maintain hope in the face of a poor prognosis and make end-of-life care decisions. Culture is not limited to ethnicity and is influenced by factors such as age, gender, spirituality, spirituality, physical functioning, sexual orientation, gender identity, </w:t>
            </w:r>
            <w:proofErr w:type="spellStart"/>
            <w:r w:rsidRPr="00676303">
              <w:rPr>
                <w:rFonts w:asciiTheme="minorHAnsi" w:hAnsiTheme="minorHAnsi"/>
                <w:sz w:val="20"/>
                <w:szCs w:val="20"/>
                <w:lang w:val="en-US"/>
              </w:rPr>
              <w:t>marginalisation</w:t>
            </w:r>
            <w:proofErr w:type="spellEnd"/>
            <w:r w:rsidRPr="00676303">
              <w:rPr>
                <w:rFonts w:asciiTheme="minorHAnsi" w:hAnsiTheme="minorHAnsi"/>
                <w:sz w:val="20"/>
                <w:szCs w:val="20"/>
                <w:lang w:val="en-US"/>
              </w:rPr>
              <w:t>, lifestyle and socioeconomic status.</w:t>
            </w:r>
          </w:p>
        </w:tc>
      </w:tr>
      <w:tr w:rsidR="009410EF" w:rsidRPr="00676303" w14:paraId="0E2EF08F" w14:textId="77777777" w:rsidTr="005B2359">
        <w:tc>
          <w:tcPr>
            <w:tcW w:w="1413" w:type="dxa"/>
            <w:shd w:val="clear" w:color="auto" w:fill="D9E2F3" w:themeFill="accent1" w:themeFillTint="33"/>
          </w:tcPr>
          <w:p w14:paraId="591E7A68" w14:textId="77777777" w:rsidR="009410EF" w:rsidRPr="00676303" w:rsidRDefault="009410EF"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Objectives</w:t>
            </w:r>
          </w:p>
          <w:p w14:paraId="014ADB40" w14:textId="77777777" w:rsidR="009410EF" w:rsidRPr="00676303" w:rsidRDefault="009410EF"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C- Cognition  </w:t>
            </w:r>
          </w:p>
          <w:p w14:paraId="2FC9D635" w14:textId="77777777" w:rsidR="009410EF" w:rsidRPr="00676303" w:rsidRDefault="009410EF"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S – Skills</w:t>
            </w:r>
          </w:p>
          <w:p w14:paraId="6D2B6C52" w14:textId="77777777" w:rsidR="009410EF" w:rsidRPr="00676303" w:rsidRDefault="009410EF"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A – Attitudes</w:t>
            </w:r>
          </w:p>
          <w:p w14:paraId="35E76C8E" w14:textId="77777777" w:rsidR="009410EF" w:rsidRPr="00676303" w:rsidRDefault="009410EF" w:rsidP="005B2359">
            <w:pPr>
              <w:spacing w:after="0" w:line="20" w:lineRule="atLeast"/>
              <w:rPr>
                <w:rFonts w:asciiTheme="minorHAnsi" w:hAnsiTheme="minorHAnsi" w:cs="Calibri"/>
                <w:b/>
                <w:sz w:val="20"/>
                <w:szCs w:val="20"/>
                <w:lang w:val="en-US"/>
              </w:rPr>
            </w:pPr>
          </w:p>
        </w:tc>
        <w:tc>
          <w:tcPr>
            <w:tcW w:w="7796" w:type="dxa"/>
            <w:shd w:val="clear" w:color="auto" w:fill="auto"/>
          </w:tcPr>
          <w:p w14:paraId="0A3C4EE4" w14:textId="77777777" w:rsidR="009410EF" w:rsidRPr="00676303" w:rsidRDefault="009410EF"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Cognition/ Knowledge:</w:t>
            </w:r>
          </w:p>
          <w:p w14:paraId="46AB495C" w14:textId="77777777" w:rsidR="009410EF" w:rsidRPr="00676303" w:rsidRDefault="009410EF" w:rsidP="005B2359">
            <w:pPr>
              <w:pStyle w:val="ListParagraph"/>
              <w:numPr>
                <w:ilvl w:val="0"/>
                <w:numId w:val="4"/>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Identify and describe role transitions and their effects (psychological, social and spiritual) on the patient and their family.</w:t>
            </w:r>
          </w:p>
          <w:p w14:paraId="342A21AB" w14:textId="403B2420" w:rsidR="009410EF" w:rsidRPr="00676303" w:rsidRDefault="009410EF" w:rsidP="005B2359">
            <w:pPr>
              <w:pStyle w:val="ListParagraph"/>
              <w:numPr>
                <w:ilvl w:val="0"/>
                <w:numId w:val="4"/>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Identify how cultural (including religion) and ethnic differences may impact on psychosoc</w:t>
            </w:r>
            <w:r w:rsidR="005F1E41">
              <w:rPr>
                <w:rFonts w:asciiTheme="minorHAnsi" w:hAnsiTheme="minorHAnsi" w:cs="Calibri"/>
                <w:sz w:val="20"/>
                <w:szCs w:val="20"/>
                <w:lang w:val="en-US"/>
              </w:rPr>
              <w:t>i</w:t>
            </w:r>
            <w:r w:rsidRPr="00676303">
              <w:rPr>
                <w:rFonts w:asciiTheme="minorHAnsi" w:hAnsiTheme="minorHAnsi" w:cs="Calibri"/>
                <w:sz w:val="20"/>
                <w:szCs w:val="20"/>
                <w:lang w:val="en-US"/>
              </w:rPr>
              <w:t>al adjustment to disease.</w:t>
            </w:r>
          </w:p>
          <w:p w14:paraId="4F5A6F64" w14:textId="77777777" w:rsidR="009410EF" w:rsidRPr="00676303" w:rsidRDefault="009410EF" w:rsidP="005B2359">
            <w:pPr>
              <w:pStyle w:val="ListParagraph"/>
              <w:numPr>
                <w:ilvl w:val="0"/>
                <w:numId w:val="4"/>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Describe the expectations and roles within the multidisciplinary team in supporting/providing psychological and social care</w:t>
            </w:r>
          </w:p>
          <w:p w14:paraId="5B703A19" w14:textId="77777777" w:rsidR="009410EF" w:rsidRPr="00676303" w:rsidRDefault="009410EF" w:rsidP="005B2359">
            <w:pPr>
              <w:spacing w:after="0" w:line="20" w:lineRule="atLeast"/>
              <w:contextualSpacing/>
              <w:rPr>
                <w:rFonts w:asciiTheme="minorHAnsi" w:eastAsiaTheme="minorHAnsi" w:hAnsiTheme="minorHAnsi" w:cstheme="minorHAnsi"/>
                <w:sz w:val="20"/>
                <w:szCs w:val="20"/>
                <w:lang w:val="en-US"/>
              </w:rPr>
            </w:pPr>
            <w:r w:rsidRPr="00676303">
              <w:rPr>
                <w:rFonts w:asciiTheme="minorHAnsi" w:eastAsiaTheme="minorHAnsi" w:hAnsiTheme="minorHAnsi" w:cstheme="minorHAnsi"/>
                <w:sz w:val="20"/>
                <w:szCs w:val="20"/>
                <w:lang w:val="en-US"/>
              </w:rPr>
              <w:t>Skills (will be monitored also during the clinical placement):</w:t>
            </w:r>
          </w:p>
          <w:p w14:paraId="578819ED" w14:textId="4C43B898" w:rsidR="009410EF" w:rsidRPr="00F10E4D" w:rsidRDefault="009410EF" w:rsidP="005B2359">
            <w:pPr>
              <w:pStyle w:val="ListParagraph"/>
              <w:numPr>
                <w:ilvl w:val="0"/>
                <w:numId w:val="3"/>
              </w:numPr>
              <w:spacing w:after="0" w:line="20" w:lineRule="atLeast"/>
              <w:ind w:left="742"/>
              <w:rPr>
                <w:rFonts w:asciiTheme="minorHAnsi" w:hAnsiTheme="minorHAnsi" w:cs="Calibri"/>
                <w:sz w:val="20"/>
                <w:szCs w:val="20"/>
                <w:lang w:val="en-US"/>
              </w:rPr>
            </w:pPr>
            <w:r w:rsidRPr="00676303">
              <w:rPr>
                <w:rFonts w:asciiTheme="minorHAnsi" w:hAnsiTheme="minorHAnsi" w:cs="Calibri"/>
                <w:sz w:val="20"/>
                <w:szCs w:val="20"/>
                <w:lang w:val="en-US"/>
              </w:rPr>
              <w:t>Demonstrate empathetic understanding of the psychological responses to stress/loss, and the link between coping and psychological dysfunction/disorders.</w:t>
            </w:r>
          </w:p>
          <w:p w14:paraId="1B576F58" w14:textId="77777777" w:rsidR="009410EF" w:rsidRPr="00676303" w:rsidRDefault="009410EF"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Attitude</w:t>
            </w:r>
          </w:p>
          <w:p w14:paraId="21352090" w14:textId="33B3A307" w:rsidR="009410EF" w:rsidRPr="00F10E4D" w:rsidRDefault="009410EF" w:rsidP="00F10E4D">
            <w:pPr>
              <w:pStyle w:val="ListParagraph"/>
              <w:numPr>
                <w:ilvl w:val="0"/>
                <w:numId w:val="5"/>
              </w:numPr>
              <w:spacing w:after="0" w:line="20" w:lineRule="atLeast"/>
              <w:ind w:left="742"/>
              <w:rPr>
                <w:rFonts w:asciiTheme="minorHAnsi" w:hAnsiTheme="minorHAnsi" w:cs="Calibri"/>
                <w:color w:val="FF0000"/>
                <w:sz w:val="20"/>
                <w:szCs w:val="20"/>
                <w:lang w:val="en-US"/>
              </w:rPr>
            </w:pPr>
            <w:r w:rsidRPr="00676303">
              <w:rPr>
                <w:rFonts w:asciiTheme="minorHAnsi" w:hAnsiTheme="minorHAnsi" w:cs="Calibri"/>
                <w:sz w:val="20"/>
                <w:szCs w:val="20"/>
                <w:lang w:val="en-US"/>
              </w:rPr>
              <w:t>Shows a commitment to support and engage with psychosocial issues</w:t>
            </w:r>
            <w:r w:rsidRPr="00676303">
              <w:rPr>
                <w:rFonts w:asciiTheme="minorHAnsi" w:hAnsiTheme="minorHAnsi" w:cs="Calibri"/>
                <w:color w:val="FF0000"/>
                <w:sz w:val="20"/>
                <w:szCs w:val="20"/>
                <w:lang w:val="en-US"/>
              </w:rPr>
              <w:t>.</w:t>
            </w:r>
          </w:p>
        </w:tc>
      </w:tr>
      <w:tr w:rsidR="009410EF" w:rsidRPr="00676303" w14:paraId="4F299D0B" w14:textId="77777777" w:rsidTr="005B2359">
        <w:tc>
          <w:tcPr>
            <w:tcW w:w="1413" w:type="dxa"/>
            <w:shd w:val="clear" w:color="auto" w:fill="D9E2F3" w:themeFill="accent1" w:themeFillTint="33"/>
          </w:tcPr>
          <w:p w14:paraId="39CF52ED" w14:textId="77777777" w:rsidR="009410EF" w:rsidRPr="00676303" w:rsidRDefault="009410EF"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Methods</w:t>
            </w:r>
          </w:p>
        </w:tc>
        <w:tc>
          <w:tcPr>
            <w:tcW w:w="7796" w:type="dxa"/>
            <w:shd w:val="clear" w:color="auto" w:fill="auto"/>
          </w:tcPr>
          <w:p w14:paraId="61AD11AE" w14:textId="77777777" w:rsidR="009410EF" w:rsidRPr="00676303" w:rsidRDefault="009410EF" w:rsidP="005B2359">
            <w:pPr>
              <w:pStyle w:val="ListParagraph"/>
              <w:numPr>
                <w:ilvl w:val="0"/>
                <w:numId w:val="2"/>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Online self-paced learning </w:t>
            </w:r>
          </w:p>
          <w:p w14:paraId="478C3A45" w14:textId="77777777" w:rsidR="009410EF" w:rsidRPr="00676303" w:rsidRDefault="009410EF" w:rsidP="005B2359">
            <w:pPr>
              <w:pStyle w:val="ListParagraph"/>
              <w:numPr>
                <w:ilvl w:val="0"/>
                <w:numId w:val="2"/>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Online case studies (discussion boards)</w:t>
            </w:r>
          </w:p>
          <w:p w14:paraId="69A43EC8" w14:textId="77777777" w:rsidR="009410EF" w:rsidRPr="00676303" w:rsidRDefault="009410EF" w:rsidP="005B2359">
            <w:pPr>
              <w:pStyle w:val="ListParagraph"/>
              <w:numPr>
                <w:ilvl w:val="0"/>
                <w:numId w:val="2"/>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Lecture </w:t>
            </w:r>
          </w:p>
          <w:p w14:paraId="5D097711" w14:textId="77777777" w:rsidR="009410EF" w:rsidRPr="00676303" w:rsidRDefault="009410EF" w:rsidP="005B2359">
            <w:pPr>
              <w:pStyle w:val="ListParagraph"/>
              <w:numPr>
                <w:ilvl w:val="0"/>
                <w:numId w:val="2"/>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Bedside observation  </w:t>
            </w:r>
          </w:p>
        </w:tc>
      </w:tr>
      <w:tr w:rsidR="009410EF" w:rsidRPr="00676303" w14:paraId="404B0F1D" w14:textId="77777777" w:rsidTr="005B2359">
        <w:trPr>
          <w:trHeight w:val="841"/>
        </w:trPr>
        <w:tc>
          <w:tcPr>
            <w:tcW w:w="1413" w:type="dxa"/>
            <w:shd w:val="clear" w:color="auto" w:fill="D9E2F3" w:themeFill="accent1" w:themeFillTint="33"/>
          </w:tcPr>
          <w:p w14:paraId="0A7A8EFC" w14:textId="77777777" w:rsidR="009410EF" w:rsidRPr="00676303" w:rsidRDefault="009410EF"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Timing </w:t>
            </w:r>
          </w:p>
        </w:tc>
        <w:tc>
          <w:tcPr>
            <w:tcW w:w="7796" w:type="dxa"/>
            <w:shd w:val="clear" w:color="auto" w:fill="auto"/>
          </w:tcPr>
          <w:p w14:paraId="1ACC00D0" w14:textId="77777777" w:rsidR="009410EF" w:rsidRPr="00676303" w:rsidRDefault="009410EF"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Online self-paced online learning/lecture (~90 minutes) </w:t>
            </w:r>
          </w:p>
          <w:p w14:paraId="1F47E5EF" w14:textId="77777777" w:rsidR="009410EF" w:rsidRPr="00676303" w:rsidRDefault="009410EF" w:rsidP="005B2359">
            <w:pPr>
              <w:pStyle w:val="ListParagraph"/>
              <w:numPr>
                <w:ilvl w:val="0"/>
                <w:numId w:val="1"/>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Types of psychological support for children and adults</w:t>
            </w:r>
          </w:p>
          <w:p w14:paraId="244CC869" w14:textId="77777777" w:rsidR="009410EF" w:rsidRPr="00676303" w:rsidRDefault="009410EF" w:rsidP="005B2359">
            <w:pPr>
              <w:pStyle w:val="ListParagraph"/>
              <w:numPr>
                <w:ilvl w:val="0"/>
                <w:numId w:val="1"/>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Family support and communication</w:t>
            </w:r>
          </w:p>
          <w:p w14:paraId="30B11BAB" w14:textId="77777777" w:rsidR="009410EF" w:rsidRPr="00676303" w:rsidRDefault="009410EF" w:rsidP="005B2359">
            <w:pPr>
              <w:pStyle w:val="ListParagraph"/>
              <w:numPr>
                <w:ilvl w:val="0"/>
                <w:numId w:val="1"/>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Children and vulnerable adults</w:t>
            </w:r>
          </w:p>
          <w:p w14:paraId="157F3974" w14:textId="77777777" w:rsidR="009410EF" w:rsidRPr="00676303" w:rsidRDefault="009410EF" w:rsidP="005B2359">
            <w:pPr>
              <w:pStyle w:val="ListParagraph"/>
              <w:numPr>
                <w:ilvl w:val="0"/>
                <w:numId w:val="1"/>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Practical supports</w:t>
            </w:r>
          </w:p>
          <w:p w14:paraId="4CCBD1CF" w14:textId="77777777" w:rsidR="009410EF" w:rsidRPr="00676303" w:rsidRDefault="009410EF" w:rsidP="005B2359">
            <w:pPr>
              <w:pStyle w:val="ListParagraph"/>
              <w:numPr>
                <w:ilvl w:val="0"/>
                <w:numId w:val="1"/>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Care planning</w:t>
            </w:r>
          </w:p>
          <w:p w14:paraId="423CD4A8" w14:textId="77777777" w:rsidR="009410EF" w:rsidRPr="00676303" w:rsidRDefault="009410EF" w:rsidP="005B2359">
            <w:pPr>
              <w:pStyle w:val="ListParagraph"/>
              <w:numPr>
                <w:ilvl w:val="0"/>
                <w:numId w:val="1"/>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Formal family meetings</w:t>
            </w:r>
          </w:p>
          <w:p w14:paraId="32B6FE6F" w14:textId="77777777" w:rsidR="009410EF" w:rsidRPr="00676303" w:rsidRDefault="009410EF"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Online case study discussion boards (~30 minutes) and follow-up seminar (~30 minutes)</w:t>
            </w:r>
          </w:p>
          <w:p w14:paraId="314BB427" w14:textId="77777777" w:rsidR="009410EF" w:rsidRPr="00676303" w:rsidRDefault="009410EF"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Bedside observation of social and culturally aware support for families dealing with the psychosocial impact of illness.</w:t>
            </w:r>
            <w:r w:rsidRPr="00676303">
              <w:rPr>
                <w:rFonts w:asciiTheme="minorHAnsi" w:hAnsiTheme="minorHAnsi"/>
                <w:sz w:val="20"/>
                <w:szCs w:val="20"/>
                <w:lang w:val="en-US"/>
              </w:rPr>
              <w:t xml:space="preserve"> </w:t>
            </w:r>
            <w:r w:rsidRPr="00676303">
              <w:rPr>
                <w:rFonts w:asciiTheme="minorHAnsi" w:hAnsiTheme="minorHAnsi" w:cs="Calibri"/>
                <w:sz w:val="20"/>
                <w:szCs w:val="20"/>
                <w:lang w:val="en-US"/>
              </w:rPr>
              <w:t>(~30 minutes)</w:t>
            </w:r>
          </w:p>
        </w:tc>
      </w:tr>
      <w:tr w:rsidR="009410EF" w:rsidRPr="00676303" w14:paraId="18B831CF" w14:textId="77777777" w:rsidTr="005B2359">
        <w:tc>
          <w:tcPr>
            <w:tcW w:w="1413" w:type="dxa"/>
            <w:shd w:val="clear" w:color="auto" w:fill="D9E2F3" w:themeFill="accent1" w:themeFillTint="33"/>
          </w:tcPr>
          <w:p w14:paraId="1A8FA84D" w14:textId="77777777" w:rsidR="009410EF" w:rsidRPr="00676303" w:rsidRDefault="009410EF"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Bibliography/Resources </w:t>
            </w:r>
          </w:p>
        </w:tc>
        <w:tc>
          <w:tcPr>
            <w:tcW w:w="7796" w:type="dxa"/>
            <w:shd w:val="clear" w:color="auto" w:fill="auto"/>
          </w:tcPr>
          <w:p w14:paraId="14384082" w14:textId="77777777" w:rsidR="009410EF" w:rsidRPr="00676303" w:rsidRDefault="009410EF" w:rsidP="00F10E4D">
            <w:pPr>
              <w:spacing w:after="12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Grassi L, Caruso R, </w:t>
            </w:r>
            <w:proofErr w:type="spellStart"/>
            <w:r w:rsidRPr="00676303">
              <w:rPr>
                <w:rFonts w:asciiTheme="minorHAnsi" w:hAnsiTheme="minorHAnsi" w:cs="Calibri"/>
                <w:sz w:val="20"/>
                <w:szCs w:val="20"/>
                <w:lang w:val="en-US"/>
              </w:rPr>
              <w:t>Sabato</w:t>
            </w:r>
            <w:proofErr w:type="spellEnd"/>
            <w:r w:rsidRPr="00676303">
              <w:rPr>
                <w:rFonts w:asciiTheme="minorHAnsi" w:hAnsiTheme="minorHAnsi" w:cs="Calibri"/>
                <w:sz w:val="20"/>
                <w:szCs w:val="20"/>
                <w:lang w:val="en-US"/>
              </w:rPr>
              <w:t xml:space="preserve"> S, </w:t>
            </w:r>
            <w:proofErr w:type="spellStart"/>
            <w:r w:rsidRPr="00676303">
              <w:rPr>
                <w:rFonts w:asciiTheme="minorHAnsi" w:hAnsiTheme="minorHAnsi" w:cs="Calibri"/>
                <w:sz w:val="20"/>
                <w:szCs w:val="20"/>
                <w:lang w:val="en-US"/>
              </w:rPr>
              <w:t>Massarenti</w:t>
            </w:r>
            <w:proofErr w:type="spellEnd"/>
            <w:r w:rsidRPr="00676303">
              <w:rPr>
                <w:rFonts w:asciiTheme="minorHAnsi" w:hAnsiTheme="minorHAnsi" w:cs="Calibri"/>
                <w:sz w:val="20"/>
                <w:szCs w:val="20"/>
                <w:lang w:val="en-US"/>
              </w:rPr>
              <w:t xml:space="preserve"> S, </w:t>
            </w:r>
            <w:proofErr w:type="spellStart"/>
            <w:r w:rsidRPr="00676303">
              <w:rPr>
                <w:rFonts w:asciiTheme="minorHAnsi" w:hAnsiTheme="minorHAnsi" w:cs="Calibri"/>
                <w:sz w:val="20"/>
                <w:szCs w:val="20"/>
                <w:lang w:val="en-US"/>
              </w:rPr>
              <w:t>Nanni</w:t>
            </w:r>
            <w:proofErr w:type="spellEnd"/>
            <w:r w:rsidRPr="00676303">
              <w:rPr>
                <w:rFonts w:asciiTheme="minorHAnsi" w:hAnsiTheme="minorHAnsi" w:cs="Calibri"/>
                <w:sz w:val="20"/>
                <w:szCs w:val="20"/>
                <w:lang w:val="en-US"/>
              </w:rPr>
              <w:t xml:space="preserve"> MG. Psychosocial screening and assessment in oncology and palliative care settings. Frontiers in psychology. 2015 Jan 7</w:t>
            </w:r>
            <w:proofErr w:type="gramStart"/>
            <w:r w:rsidRPr="00676303">
              <w:rPr>
                <w:rFonts w:asciiTheme="minorHAnsi" w:hAnsiTheme="minorHAnsi" w:cs="Calibri"/>
                <w:sz w:val="20"/>
                <w:szCs w:val="20"/>
                <w:lang w:val="en-US"/>
              </w:rPr>
              <w:t>;5:1485</w:t>
            </w:r>
            <w:proofErr w:type="gramEnd"/>
            <w:r w:rsidRPr="00676303">
              <w:rPr>
                <w:rFonts w:asciiTheme="minorHAnsi" w:hAnsiTheme="minorHAnsi" w:cs="Calibri"/>
                <w:sz w:val="20"/>
                <w:szCs w:val="20"/>
                <w:lang w:val="en-US"/>
              </w:rPr>
              <w:t>.</w:t>
            </w:r>
          </w:p>
          <w:p w14:paraId="4D0F66FC" w14:textId="77777777" w:rsidR="009410EF" w:rsidRPr="00676303" w:rsidRDefault="009410EF" w:rsidP="00F10E4D">
            <w:pPr>
              <w:spacing w:after="120" w:line="20" w:lineRule="atLeast"/>
              <w:rPr>
                <w:rFonts w:asciiTheme="minorHAnsi" w:hAnsiTheme="minorHAnsi" w:cs="Calibri"/>
                <w:sz w:val="20"/>
                <w:szCs w:val="20"/>
                <w:lang w:val="en-US"/>
              </w:rPr>
            </w:pPr>
            <w:proofErr w:type="spellStart"/>
            <w:r w:rsidRPr="00676303">
              <w:rPr>
                <w:rFonts w:asciiTheme="minorHAnsi" w:hAnsiTheme="minorHAnsi" w:cs="Calibri"/>
                <w:sz w:val="20"/>
                <w:szCs w:val="20"/>
                <w:lang w:val="en-US"/>
              </w:rPr>
              <w:t>Kaasa</w:t>
            </w:r>
            <w:proofErr w:type="spellEnd"/>
            <w:r w:rsidRPr="00676303">
              <w:rPr>
                <w:rFonts w:asciiTheme="minorHAnsi" w:hAnsiTheme="minorHAnsi" w:cs="Calibri"/>
                <w:sz w:val="20"/>
                <w:szCs w:val="20"/>
                <w:lang w:val="en-US"/>
              </w:rPr>
              <w:t xml:space="preserve"> S, Knaul FM, Mwangi-Powell F, Rodin G. Supportive care in cancer: new directions to achieve universal access to psychosocial, palliative, and end-of-life care. The Lancet Global Health. 2018 Mar 31</w:t>
            </w:r>
            <w:proofErr w:type="gramStart"/>
            <w:r w:rsidRPr="00676303">
              <w:rPr>
                <w:rFonts w:asciiTheme="minorHAnsi" w:hAnsiTheme="minorHAnsi" w:cs="Calibri"/>
                <w:sz w:val="20"/>
                <w:szCs w:val="20"/>
                <w:lang w:val="en-US"/>
              </w:rPr>
              <w:t>;6:S11</w:t>
            </w:r>
            <w:proofErr w:type="gramEnd"/>
            <w:r w:rsidRPr="00676303">
              <w:rPr>
                <w:rFonts w:asciiTheme="minorHAnsi" w:hAnsiTheme="minorHAnsi" w:cs="Calibri"/>
                <w:sz w:val="20"/>
                <w:szCs w:val="20"/>
                <w:lang w:val="en-US"/>
              </w:rPr>
              <w:t>-2.</w:t>
            </w:r>
          </w:p>
          <w:p w14:paraId="62EEAE62" w14:textId="77777777" w:rsidR="009410EF" w:rsidRPr="00676303" w:rsidRDefault="009410EF" w:rsidP="00F10E4D">
            <w:pPr>
              <w:spacing w:after="12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van der Steen JT, </w:t>
            </w:r>
            <w:proofErr w:type="spellStart"/>
            <w:r w:rsidRPr="00676303">
              <w:rPr>
                <w:rFonts w:asciiTheme="minorHAnsi" w:hAnsiTheme="minorHAnsi" w:cs="Calibri"/>
                <w:sz w:val="20"/>
                <w:szCs w:val="20"/>
                <w:lang w:val="en-US"/>
              </w:rPr>
              <w:t>Radbruch</w:t>
            </w:r>
            <w:proofErr w:type="spellEnd"/>
            <w:r w:rsidRPr="00676303">
              <w:rPr>
                <w:rFonts w:asciiTheme="minorHAnsi" w:hAnsiTheme="minorHAnsi" w:cs="Calibri"/>
                <w:sz w:val="20"/>
                <w:szCs w:val="20"/>
                <w:lang w:val="en-US"/>
              </w:rPr>
              <w:t xml:space="preserve"> L, </w:t>
            </w:r>
            <w:proofErr w:type="spellStart"/>
            <w:r w:rsidRPr="00676303">
              <w:rPr>
                <w:rFonts w:asciiTheme="minorHAnsi" w:hAnsiTheme="minorHAnsi" w:cs="Calibri"/>
                <w:sz w:val="20"/>
                <w:szCs w:val="20"/>
                <w:lang w:val="en-US"/>
              </w:rPr>
              <w:t>Hertogh</w:t>
            </w:r>
            <w:proofErr w:type="spellEnd"/>
            <w:r w:rsidRPr="00676303">
              <w:rPr>
                <w:rFonts w:asciiTheme="minorHAnsi" w:hAnsiTheme="minorHAnsi" w:cs="Calibri"/>
                <w:sz w:val="20"/>
                <w:szCs w:val="20"/>
                <w:lang w:val="en-US"/>
              </w:rPr>
              <w:t xml:space="preserve"> CM, de Boer ME, Hughes JC, Larkin P, </w:t>
            </w:r>
            <w:proofErr w:type="spellStart"/>
            <w:r w:rsidRPr="00676303">
              <w:rPr>
                <w:rFonts w:asciiTheme="minorHAnsi" w:hAnsiTheme="minorHAnsi" w:cs="Calibri"/>
                <w:sz w:val="20"/>
                <w:szCs w:val="20"/>
                <w:lang w:val="en-US"/>
              </w:rPr>
              <w:t>Francke</w:t>
            </w:r>
            <w:proofErr w:type="spellEnd"/>
            <w:r w:rsidRPr="00676303">
              <w:rPr>
                <w:rFonts w:asciiTheme="minorHAnsi" w:hAnsiTheme="minorHAnsi" w:cs="Calibri"/>
                <w:sz w:val="20"/>
                <w:szCs w:val="20"/>
                <w:lang w:val="en-US"/>
              </w:rPr>
              <w:t xml:space="preserve"> AL, </w:t>
            </w:r>
            <w:proofErr w:type="spellStart"/>
            <w:r w:rsidRPr="00676303">
              <w:rPr>
                <w:rFonts w:asciiTheme="minorHAnsi" w:hAnsiTheme="minorHAnsi" w:cs="Calibri"/>
                <w:sz w:val="20"/>
                <w:szCs w:val="20"/>
                <w:lang w:val="en-US"/>
              </w:rPr>
              <w:t>Jünger</w:t>
            </w:r>
            <w:proofErr w:type="spellEnd"/>
            <w:r w:rsidRPr="00676303">
              <w:rPr>
                <w:rFonts w:asciiTheme="minorHAnsi" w:hAnsiTheme="minorHAnsi" w:cs="Calibri"/>
                <w:sz w:val="20"/>
                <w:szCs w:val="20"/>
                <w:lang w:val="en-US"/>
              </w:rPr>
              <w:t xml:space="preserve"> S, Gove D, Firth P, Koopmans RT. White paper defining optimal palliative care in older people with dementia: a Delphi study and recommendations from the European Association for Palliative Care. Palliative medicine. 2014 Mar;28(3):197-209.</w:t>
            </w:r>
          </w:p>
          <w:p w14:paraId="79A4C176" w14:textId="77777777" w:rsidR="009410EF" w:rsidRPr="00676303" w:rsidRDefault="009410EF" w:rsidP="00F10E4D">
            <w:pPr>
              <w:spacing w:after="120" w:line="20" w:lineRule="atLeast"/>
              <w:rPr>
                <w:rFonts w:asciiTheme="minorHAnsi" w:hAnsiTheme="minorHAnsi" w:cs="Calibri"/>
                <w:sz w:val="20"/>
                <w:szCs w:val="20"/>
                <w:lang w:val="en-US"/>
              </w:rPr>
            </w:pPr>
            <w:r w:rsidRPr="00676303">
              <w:rPr>
                <w:rFonts w:asciiTheme="minorHAnsi" w:hAnsiTheme="minorHAnsi" w:cs="Calibri"/>
                <w:sz w:val="20"/>
                <w:szCs w:val="20"/>
                <w:lang w:val="en-US"/>
              </w:rPr>
              <w:lastRenderedPageBreak/>
              <w:t xml:space="preserve">Weaver MS, Heinze KE, Bell CJ, Wiener L, </w:t>
            </w:r>
            <w:proofErr w:type="spellStart"/>
            <w:r w:rsidRPr="00676303">
              <w:rPr>
                <w:rFonts w:asciiTheme="minorHAnsi" w:hAnsiTheme="minorHAnsi" w:cs="Calibri"/>
                <w:sz w:val="20"/>
                <w:szCs w:val="20"/>
                <w:lang w:val="en-US"/>
              </w:rPr>
              <w:t>Garee</w:t>
            </w:r>
            <w:proofErr w:type="spellEnd"/>
            <w:r w:rsidRPr="00676303">
              <w:rPr>
                <w:rFonts w:asciiTheme="minorHAnsi" w:hAnsiTheme="minorHAnsi" w:cs="Calibri"/>
                <w:sz w:val="20"/>
                <w:szCs w:val="20"/>
                <w:lang w:val="en-US"/>
              </w:rPr>
              <w:t xml:space="preserve"> AM, Kelly KP, Casey RL, Watson A, Hinds PS. Establishing psychosocial palliative care standards for children and adolescents with cancer and their families: An integrative review. Palliative medicine. 2016 Mar;30(3):212-23.</w:t>
            </w:r>
          </w:p>
          <w:p w14:paraId="409EC03B" w14:textId="77777777" w:rsidR="009410EF" w:rsidRPr="00676303" w:rsidRDefault="009410EF" w:rsidP="00F10E4D">
            <w:pPr>
              <w:spacing w:after="120" w:line="20" w:lineRule="atLeast"/>
              <w:rPr>
                <w:rFonts w:asciiTheme="minorHAnsi" w:hAnsiTheme="minorHAnsi" w:cs="Calibri"/>
                <w:sz w:val="20"/>
                <w:szCs w:val="20"/>
                <w:lang w:val="en-US"/>
              </w:rPr>
            </w:pPr>
            <w:r w:rsidRPr="00676303">
              <w:rPr>
                <w:rFonts w:asciiTheme="minorHAnsi" w:hAnsiTheme="minorHAnsi" w:cs="Calibri"/>
                <w:sz w:val="20"/>
                <w:szCs w:val="20"/>
                <w:lang w:val="en-US"/>
              </w:rPr>
              <w:t>Wiener L, Weaver MS, Bell CJ, Sansom-Daly UM. Threading the cloak: palliative care education for care providers of adolescents and young adults with cancer. Clinical oncology in adolescents and young adults. 2015 Jan 1</w:t>
            </w:r>
            <w:proofErr w:type="gramStart"/>
            <w:r w:rsidRPr="00676303">
              <w:rPr>
                <w:rFonts w:asciiTheme="minorHAnsi" w:hAnsiTheme="minorHAnsi" w:cs="Calibri"/>
                <w:sz w:val="20"/>
                <w:szCs w:val="20"/>
                <w:lang w:val="en-US"/>
              </w:rPr>
              <w:t>;5:1</w:t>
            </w:r>
            <w:proofErr w:type="gramEnd"/>
            <w:r w:rsidRPr="00676303">
              <w:rPr>
                <w:rFonts w:asciiTheme="minorHAnsi" w:hAnsiTheme="minorHAnsi" w:cs="Calibri"/>
                <w:sz w:val="20"/>
                <w:szCs w:val="20"/>
                <w:lang w:val="en-US"/>
              </w:rPr>
              <w:t>.</w:t>
            </w:r>
          </w:p>
          <w:p w14:paraId="254174B9" w14:textId="77777777" w:rsidR="009410EF" w:rsidRPr="00676303" w:rsidRDefault="009410EF" w:rsidP="00F10E4D">
            <w:pPr>
              <w:spacing w:after="12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Online resources</w:t>
            </w:r>
            <w:bookmarkStart w:id="0" w:name="_GoBack"/>
            <w:bookmarkEnd w:id="0"/>
          </w:p>
          <w:p w14:paraId="5B279627" w14:textId="77777777" w:rsidR="009410EF" w:rsidRPr="00676303" w:rsidRDefault="009410EF" w:rsidP="00F10E4D">
            <w:pPr>
              <w:spacing w:after="12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Palliative Care: You are a Bridge. </w:t>
            </w:r>
            <w:r w:rsidRPr="00676303">
              <w:rPr>
                <w:rFonts w:asciiTheme="minorHAnsi" w:hAnsiTheme="minorHAnsi" w:cs="Arial"/>
                <w:color w:val="111111"/>
                <w:sz w:val="20"/>
                <w:szCs w:val="20"/>
                <w:shd w:val="clear" w:color="auto" w:fill="FFFFFF"/>
                <w:lang w:val="en-US"/>
              </w:rPr>
              <w:t xml:space="preserve">This video animation compares palliative care to the foundation of a bridge. While illness may weaken the foundation, the palliative care team provides a stronger layer of support. </w:t>
            </w:r>
            <w:hyperlink r:id="rId6" w:history="1">
              <w:r w:rsidRPr="00676303">
                <w:rPr>
                  <w:rStyle w:val="Hyperlink"/>
                  <w:rFonts w:asciiTheme="minorHAnsi" w:hAnsiTheme="minorHAnsi" w:cs="Calibri"/>
                  <w:sz w:val="20"/>
                  <w:szCs w:val="20"/>
                  <w:lang w:val="en-US"/>
                </w:rPr>
                <w:t>https://www.youtube.com/watch?v=lDHhg76tMHc</w:t>
              </w:r>
            </w:hyperlink>
            <w:r w:rsidRPr="00676303">
              <w:rPr>
                <w:rFonts w:asciiTheme="minorHAnsi" w:hAnsiTheme="minorHAnsi" w:cs="Calibri"/>
                <w:sz w:val="20"/>
                <w:szCs w:val="20"/>
                <w:lang w:val="en-US"/>
              </w:rPr>
              <w:t xml:space="preserve"> </w:t>
            </w:r>
          </w:p>
        </w:tc>
      </w:tr>
    </w:tbl>
    <w:p w14:paraId="55A76694" w14:textId="77777777" w:rsidR="006F184C" w:rsidRDefault="006F184C"/>
    <w:sectPr w:rsidR="006F1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5892"/>
    <w:multiLevelType w:val="hybridMultilevel"/>
    <w:tmpl w:val="5208588E"/>
    <w:lvl w:ilvl="0" w:tplc="0809000F">
      <w:start w:val="1"/>
      <w:numFmt w:val="decimal"/>
      <w:lvlText w:val="%1."/>
      <w:lvlJc w:val="left"/>
      <w:pPr>
        <w:ind w:left="360" w:hanging="360"/>
      </w:pPr>
      <w:rPr>
        <w:rFonts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78B17E4"/>
    <w:multiLevelType w:val="hybridMultilevel"/>
    <w:tmpl w:val="498CEB7E"/>
    <w:lvl w:ilvl="0" w:tplc="B3507104">
      <w:start w:val="1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6C623A4"/>
    <w:multiLevelType w:val="hybridMultilevel"/>
    <w:tmpl w:val="0C14ADB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10651F7"/>
    <w:multiLevelType w:val="hybridMultilevel"/>
    <w:tmpl w:val="75F0D7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59136871"/>
    <w:multiLevelType w:val="hybridMultilevel"/>
    <w:tmpl w:val="5208588E"/>
    <w:lvl w:ilvl="0" w:tplc="0809000F">
      <w:start w:val="1"/>
      <w:numFmt w:val="decimal"/>
      <w:lvlText w:val="%1."/>
      <w:lvlJc w:val="left"/>
      <w:pPr>
        <w:ind w:left="360" w:hanging="360"/>
      </w:pPr>
      <w:rPr>
        <w:rFonts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0EF"/>
    <w:rsid w:val="005F1E41"/>
    <w:rsid w:val="006F184C"/>
    <w:rsid w:val="009410EF"/>
    <w:rsid w:val="00F10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84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0EF"/>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0EF"/>
    <w:pPr>
      <w:spacing w:after="200" w:line="276" w:lineRule="auto"/>
      <w:ind w:left="720"/>
      <w:contextualSpacing/>
    </w:pPr>
    <w:rPr>
      <w:lang w:val="ro-RO"/>
    </w:rPr>
  </w:style>
  <w:style w:type="character" w:styleId="Hyperlink">
    <w:name w:val="Hyperlink"/>
    <w:basedOn w:val="DefaultParagraphFont"/>
    <w:uiPriority w:val="99"/>
    <w:unhideWhenUsed/>
    <w:rsid w:val="009410E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0EF"/>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0EF"/>
    <w:pPr>
      <w:spacing w:after="200" w:line="276" w:lineRule="auto"/>
      <w:ind w:left="720"/>
      <w:contextualSpacing/>
    </w:pPr>
    <w:rPr>
      <w:lang w:val="ro-RO"/>
    </w:rPr>
  </w:style>
  <w:style w:type="character" w:styleId="Hyperlink">
    <w:name w:val="Hyperlink"/>
    <w:basedOn w:val="DefaultParagraphFont"/>
    <w:uiPriority w:val="99"/>
    <w:unhideWhenUsed/>
    <w:rsid w:val="009410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lDHhg76tMH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586</Words>
  <Characters>3346</Characters>
  <Application>Microsoft Office Word</Application>
  <DocSecurity>0</DocSecurity>
  <Lines>27</Lines>
  <Paragraphs>7</Paragraphs>
  <ScaleCrop>false</ScaleCrop>
  <Company/>
  <LinksUpToDate>false</LinksUpToDate>
  <CharactersWithSpaces>3925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Stanciulescu</dc:creator>
  <cp:keywords/>
  <dc:description/>
  <cp:lastModifiedBy>Karen Charnley</cp:lastModifiedBy>
  <cp:revision>3</cp:revision>
  <dcterms:created xsi:type="dcterms:W3CDTF">2020-02-17T09:25:00Z</dcterms:created>
  <dcterms:modified xsi:type="dcterms:W3CDTF">2020-02-19T14:07:00Z</dcterms:modified>
</cp:coreProperties>
</file>