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796"/>
      </w:tblGrid>
      <w:tr w:rsidR="006B715D" w:rsidRPr="00676303" w14:paraId="72C38599" w14:textId="77777777" w:rsidTr="005B2359">
        <w:tc>
          <w:tcPr>
            <w:tcW w:w="9209" w:type="dxa"/>
            <w:gridSpan w:val="2"/>
            <w:shd w:val="clear" w:color="auto" w:fill="D9E2F3" w:themeFill="accent1" w:themeFillTint="33"/>
          </w:tcPr>
          <w:p w14:paraId="53655D92" w14:textId="77777777" w:rsidR="006B715D" w:rsidRPr="00676303" w:rsidRDefault="006B715D" w:rsidP="005B2359">
            <w:pPr>
              <w:spacing w:after="0" w:line="20" w:lineRule="atLeast"/>
              <w:jc w:val="center"/>
              <w:rPr>
                <w:rFonts w:asciiTheme="minorHAnsi" w:hAnsiTheme="minorHAnsi" w:cs="Calibri"/>
                <w:b/>
                <w:i/>
                <w:sz w:val="20"/>
                <w:szCs w:val="20"/>
                <w:lang w:val="en-US"/>
              </w:rPr>
            </w:pPr>
            <w:r w:rsidRPr="00676303">
              <w:rPr>
                <w:rFonts w:asciiTheme="minorHAnsi" w:hAnsiTheme="minorHAnsi" w:cs="Calibri"/>
                <w:b/>
                <w:i/>
                <w:sz w:val="20"/>
                <w:szCs w:val="20"/>
                <w:lang w:val="en-US"/>
              </w:rPr>
              <w:t xml:space="preserve">Lesson Plan </w:t>
            </w:r>
          </w:p>
        </w:tc>
      </w:tr>
      <w:tr w:rsidR="006B715D" w:rsidRPr="00676303" w14:paraId="5D57AB87" w14:textId="77777777" w:rsidTr="005B2359">
        <w:tc>
          <w:tcPr>
            <w:tcW w:w="1413" w:type="dxa"/>
            <w:shd w:val="clear" w:color="auto" w:fill="D9E2F3" w:themeFill="accent1" w:themeFillTint="33"/>
          </w:tcPr>
          <w:p w14:paraId="51E93D6F" w14:textId="77777777" w:rsidR="006B715D" w:rsidRPr="00676303" w:rsidRDefault="006B715D"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Topic</w:t>
            </w:r>
          </w:p>
        </w:tc>
        <w:tc>
          <w:tcPr>
            <w:tcW w:w="7796" w:type="dxa"/>
            <w:shd w:val="clear" w:color="auto" w:fill="auto"/>
          </w:tcPr>
          <w:p w14:paraId="7BE6B917" w14:textId="77777777" w:rsidR="006B715D" w:rsidRPr="00676303" w:rsidRDefault="006B715D"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Psychosocial and Spiritual Aspects</w:t>
            </w:r>
          </w:p>
        </w:tc>
      </w:tr>
      <w:tr w:rsidR="006B715D" w:rsidRPr="00676303" w14:paraId="2174D424" w14:textId="77777777" w:rsidTr="005B2359">
        <w:tc>
          <w:tcPr>
            <w:tcW w:w="1413" w:type="dxa"/>
            <w:shd w:val="clear" w:color="auto" w:fill="D9E2F3" w:themeFill="accent1" w:themeFillTint="33"/>
          </w:tcPr>
          <w:p w14:paraId="075C43C5" w14:textId="77777777" w:rsidR="006B715D" w:rsidRPr="00676303" w:rsidRDefault="006B715D"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Title</w:t>
            </w:r>
          </w:p>
        </w:tc>
        <w:tc>
          <w:tcPr>
            <w:tcW w:w="7796" w:type="dxa"/>
            <w:shd w:val="clear" w:color="auto" w:fill="auto"/>
          </w:tcPr>
          <w:p w14:paraId="79A09B5A" w14:textId="77777777" w:rsidR="006B715D" w:rsidRPr="00676303" w:rsidRDefault="006B715D"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Practical issues at the end of life for patients and families</w:t>
            </w:r>
          </w:p>
        </w:tc>
      </w:tr>
      <w:tr w:rsidR="006B715D" w:rsidRPr="00676303" w14:paraId="6C63C749" w14:textId="77777777" w:rsidTr="005B2359">
        <w:tc>
          <w:tcPr>
            <w:tcW w:w="1413" w:type="dxa"/>
            <w:shd w:val="clear" w:color="auto" w:fill="D9E2F3" w:themeFill="accent1" w:themeFillTint="33"/>
          </w:tcPr>
          <w:p w14:paraId="19FB3A14" w14:textId="77777777" w:rsidR="006B715D" w:rsidRPr="00676303" w:rsidRDefault="006B715D"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Learning Outcome </w:t>
            </w:r>
          </w:p>
        </w:tc>
        <w:tc>
          <w:tcPr>
            <w:tcW w:w="7796" w:type="dxa"/>
            <w:shd w:val="clear" w:color="auto" w:fill="auto"/>
          </w:tcPr>
          <w:p w14:paraId="55EFD24D" w14:textId="77777777" w:rsidR="006B715D" w:rsidRPr="00676303" w:rsidRDefault="006B715D" w:rsidP="005B2359">
            <w:pPr>
              <w:spacing w:after="0" w:line="20" w:lineRule="atLeast"/>
              <w:rPr>
                <w:rFonts w:asciiTheme="minorHAnsi" w:hAnsiTheme="minorHAnsi" w:cs="Calibri"/>
                <w:sz w:val="20"/>
                <w:szCs w:val="20"/>
                <w:lang w:val="en-US"/>
              </w:rPr>
            </w:pPr>
            <w:r w:rsidRPr="00676303">
              <w:rPr>
                <w:rFonts w:eastAsia="Times New Roman" w:cs="Calibri"/>
                <w:color w:val="000000"/>
                <w:sz w:val="20"/>
                <w:szCs w:val="18"/>
                <w:lang w:val="en-US" w:eastAsia="en-GB"/>
              </w:rPr>
              <w:t>Understand the importance of assessing and supporting patients and families’ spiritual needs.</w:t>
            </w:r>
          </w:p>
        </w:tc>
      </w:tr>
      <w:tr w:rsidR="006B715D" w:rsidRPr="00676303" w14:paraId="37BA6558" w14:textId="77777777" w:rsidTr="005B2359">
        <w:tc>
          <w:tcPr>
            <w:tcW w:w="1413" w:type="dxa"/>
            <w:shd w:val="clear" w:color="auto" w:fill="D9E2F3" w:themeFill="accent1" w:themeFillTint="33"/>
          </w:tcPr>
          <w:p w14:paraId="4AE12A43" w14:textId="77777777" w:rsidR="006B715D" w:rsidRPr="00676303" w:rsidRDefault="006B715D"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Summary </w:t>
            </w:r>
          </w:p>
        </w:tc>
        <w:tc>
          <w:tcPr>
            <w:tcW w:w="7796" w:type="dxa"/>
            <w:shd w:val="clear" w:color="auto" w:fill="auto"/>
          </w:tcPr>
          <w:p w14:paraId="3B1F382A" w14:textId="77777777" w:rsidR="006B715D" w:rsidRPr="00676303" w:rsidRDefault="006B715D"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The impact of caring for someone who is dying can have damaging, even catastrophic, socioeconomic effects on families. This is can be even harder when family members are living overseas. Giving patients and families opportunities to discuss concerns and being able to signpost to appropriate support services are key skills required by doctors. </w:t>
            </w:r>
          </w:p>
        </w:tc>
      </w:tr>
      <w:tr w:rsidR="006B715D" w:rsidRPr="00676303" w14:paraId="6D3DCF3D" w14:textId="77777777" w:rsidTr="005B2359">
        <w:tc>
          <w:tcPr>
            <w:tcW w:w="1413" w:type="dxa"/>
            <w:shd w:val="clear" w:color="auto" w:fill="D9E2F3" w:themeFill="accent1" w:themeFillTint="33"/>
          </w:tcPr>
          <w:p w14:paraId="04CEC2C1" w14:textId="77777777" w:rsidR="006B715D" w:rsidRPr="00676303" w:rsidRDefault="006B715D"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Objectives</w:t>
            </w:r>
          </w:p>
          <w:p w14:paraId="0B121B2B" w14:textId="77777777" w:rsidR="006B715D" w:rsidRPr="00676303" w:rsidRDefault="006B715D"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C- Cognition  </w:t>
            </w:r>
          </w:p>
          <w:p w14:paraId="50A8E4D0" w14:textId="77777777" w:rsidR="006B715D" w:rsidRPr="00676303" w:rsidRDefault="006B715D"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S – Skills</w:t>
            </w:r>
          </w:p>
          <w:p w14:paraId="7A5ECF22" w14:textId="77777777" w:rsidR="006B715D" w:rsidRPr="00676303" w:rsidRDefault="006B715D"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A – Attitudes</w:t>
            </w:r>
          </w:p>
          <w:p w14:paraId="223D47CF" w14:textId="77777777" w:rsidR="006B715D" w:rsidRPr="00676303" w:rsidRDefault="006B715D" w:rsidP="005B2359">
            <w:pPr>
              <w:spacing w:after="0" w:line="20" w:lineRule="atLeast"/>
              <w:rPr>
                <w:rFonts w:asciiTheme="minorHAnsi" w:hAnsiTheme="minorHAnsi" w:cs="Calibri"/>
                <w:b/>
                <w:sz w:val="20"/>
                <w:szCs w:val="20"/>
                <w:lang w:val="en-US"/>
              </w:rPr>
            </w:pPr>
          </w:p>
        </w:tc>
        <w:tc>
          <w:tcPr>
            <w:tcW w:w="7796" w:type="dxa"/>
            <w:shd w:val="clear" w:color="auto" w:fill="auto"/>
          </w:tcPr>
          <w:p w14:paraId="23F89ECD" w14:textId="77777777" w:rsidR="006B715D" w:rsidRPr="00676303" w:rsidRDefault="006B715D"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Cognition/ Knowledge:</w:t>
            </w:r>
          </w:p>
          <w:p w14:paraId="13F0E6B5" w14:textId="77777777" w:rsidR="006B715D" w:rsidRPr="00676303" w:rsidRDefault="006B715D" w:rsidP="005B2359">
            <w:pPr>
              <w:pStyle w:val="ListParagraph"/>
              <w:numPr>
                <w:ilvl w:val="0"/>
                <w:numId w:val="6"/>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Identify and explain the key challenges in preparing for the end of life for patients and their families.</w:t>
            </w:r>
          </w:p>
          <w:p w14:paraId="1BCF6521" w14:textId="77777777" w:rsidR="006B715D" w:rsidRPr="00676303" w:rsidRDefault="006B715D" w:rsidP="005B2359">
            <w:pPr>
              <w:numPr>
                <w:ilvl w:val="0"/>
                <w:numId w:val="6"/>
              </w:numPr>
              <w:spacing w:after="0" w:line="20" w:lineRule="atLeast"/>
              <w:contextualSpacing/>
              <w:rPr>
                <w:rFonts w:asciiTheme="minorHAnsi" w:eastAsiaTheme="minorHAnsi" w:hAnsiTheme="minorHAnsi" w:cstheme="minorHAnsi"/>
                <w:sz w:val="20"/>
                <w:szCs w:val="20"/>
                <w:lang w:val="en-US"/>
              </w:rPr>
            </w:pPr>
            <w:r w:rsidRPr="00676303">
              <w:rPr>
                <w:rFonts w:asciiTheme="minorHAnsi" w:hAnsiTheme="minorHAnsi" w:cs="Calibri"/>
                <w:sz w:val="20"/>
                <w:szCs w:val="20"/>
                <w:lang w:val="en-US"/>
              </w:rPr>
              <w:t>Identify where to access help for patients and families to deal with practical, financial and legal issues – and explain how such services work.</w:t>
            </w:r>
          </w:p>
          <w:p w14:paraId="7E675F61" w14:textId="77777777" w:rsidR="006B715D" w:rsidRPr="00676303" w:rsidRDefault="006B715D" w:rsidP="005B2359">
            <w:pPr>
              <w:spacing w:after="0" w:line="20" w:lineRule="atLeast"/>
              <w:rPr>
                <w:rFonts w:asciiTheme="minorHAnsi" w:eastAsia="Times New Roman" w:hAnsiTheme="minorHAnsi" w:cs="Calibri"/>
                <w:color w:val="000000"/>
                <w:sz w:val="20"/>
                <w:szCs w:val="20"/>
                <w:lang w:val="en-US" w:eastAsia="en-GB"/>
              </w:rPr>
            </w:pPr>
            <w:r w:rsidRPr="00676303">
              <w:rPr>
                <w:rFonts w:asciiTheme="minorHAnsi" w:eastAsia="Times New Roman" w:hAnsiTheme="minorHAnsi" w:cs="Calibri"/>
                <w:color w:val="000000"/>
                <w:sz w:val="20"/>
                <w:szCs w:val="20"/>
                <w:lang w:val="en-US" w:eastAsia="en-GB"/>
              </w:rPr>
              <w:t>Skills:</w:t>
            </w:r>
          </w:p>
          <w:p w14:paraId="5EC2F583" w14:textId="2237269F" w:rsidR="006B715D" w:rsidRPr="00676303" w:rsidRDefault="006B715D" w:rsidP="005B2359">
            <w:pPr>
              <w:pStyle w:val="ListParagraph"/>
              <w:numPr>
                <w:ilvl w:val="0"/>
                <w:numId w:val="4"/>
              </w:numPr>
              <w:tabs>
                <w:tab w:val="left" w:pos="153"/>
              </w:tabs>
              <w:spacing w:after="0" w:line="20" w:lineRule="atLeast"/>
              <w:rPr>
                <w:rFonts w:eastAsia="Times New Roman" w:cs="Calibri"/>
                <w:color w:val="000000"/>
                <w:sz w:val="20"/>
                <w:szCs w:val="20"/>
                <w:lang w:val="en-US" w:eastAsia="en-GB"/>
              </w:rPr>
            </w:pPr>
            <w:proofErr w:type="spellStart"/>
            <w:r w:rsidRPr="00676303">
              <w:rPr>
                <w:rFonts w:eastAsia="Times New Roman" w:cs="Calibri"/>
                <w:color w:val="000000"/>
                <w:sz w:val="20"/>
                <w:szCs w:val="20"/>
                <w:lang w:val="en-US" w:eastAsia="en-GB"/>
              </w:rPr>
              <w:t>Recognis</w:t>
            </w:r>
            <w:r>
              <w:rPr>
                <w:rFonts w:eastAsia="Times New Roman" w:cs="Calibri"/>
                <w:color w:val="000000"/>
                <w:sz w:val="20"/>
                <w:szCs w:val="20"/>
                <w:lang w:val="en-US" w:eastAsia="en-GB"/>
              </w:rPr>
              <w:t>e</w:t>
            </w:r>
            <w:proofErr w:type="spellEnd"/>
            <w:r w:rsidRPr="00676303">
              <w:rPr>
                <w:rFonts w:eastAsia="Times New Roman" w:cs="Calibri"/>
                <w:color w:val="000000"/>
                <w:sz w:val="20"/>
                <w:szCs w:val="20"/>
                <w:lang w:val="en-US" w:eastAsia="en-GB"/>
              </w:rPr>
              <w:t xml:space="preserve"> signs of spiritual needs/distress. </w:t>
            </w:r>
          </w:p>
          <w:p w14:paraId="7851845E" w14:textId="77777777" w:rsidR="006B715D" w:rsidRPr="00676303" w:rsidRDefault="006B715D" w:rsidP="005B2359">
            <w:pPr>
              <w:pStyle w:val="ListParagraph"/>
              <w:numPr>
                <w:ilvl w:val="0"/>
                <w:numId w:val="4"/>
              </w:numPr>
              <w:spacing w:after="0" w:line="20" w:lineRule="atLeast"/>
              <w:rPr>
                <w:rFonts w:eastAsia="Times New Roman" w:cs="Calibri"/>
                <w:color w:val="000000"/>
                <w:sz w:val="20"/>
                <w:szCs w:val="20"/>
                <w:lang w:val="en-US" w:eastAsia="en-GB"/>
              </w:rPr>
            </w:pPr>
            <w:r w:rsidRPr="00676303">
              <w:rPr>
                <w:rFonts w:eastAsia="Times New Roman" w:cs="Calibri"/>
                <w:color w:val="000000"/>
                <w:sz w:val="20"/>
                <w:szCs w:val="20"/>
                <w:lang w:val="en-US" w:eastAsia="en-GB"/>
              </w:rPr>
              <w:t>Demonstrates willingness to initiate discussion examining the patients/families spiritual concerns.</w:t>
            </w:r>
          </w:p>
          <w:p w14:paraId="6A500BEC" w14:textId="77777777" w:rsidR="006B715D" w:rsidRPr="00676303" w:rsidRDefault="006B715D"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Attitudes:</w:t>
            </w:r>
          </w:p>
          <w:p w14:paraId="1BE64DA7" w14:textId="77777777" w:rsidR="006B715D" w:rsidRPr="00676303" w:rsidRDefault="006B715D" w:rsidP="005B2359">
            <w:pPr>
              <w:pStyle w:val="ListParagraph"/>
              <w:numPr>
                <w:ilvl w:val="0"/>
                <w:numId w:val="5"/>
              </w:numPr>
              <w:spacing w:after="0" w:line="20" w:lineRule="atLeast"/>
              <w:rPr>
                <w:rFonts w:asciiTheme="minorHAnsi" w:eastAsia="Times New Roman" w:hAnsiTheme="minorHAnsi" w:cs="Calibri"/>
                <w:color w:val="000000"/>
                <w:sz w:val="20"/>
                <w:szCs w:val="20"/>
                <w:lang w:val="en-US" w:eastAsia="en-GB"/>
              </w:rPr>
            </w:pPr>
            <w:r w:rsidRPr="00676303">
              <w:rPr>
                <w:rFonts w:asciiTheme="minorHAnsi" w:eastAsia="Times New Roman" w:hAnsiTheme="minorHAnsi" w:cs="Calibri"/>
                <w:color w:val="000000"/>
                <w:sz w:val="20"/>
                <w:szCs w:val="20"/>
                <w:lang w:val="en-US" w:eastAsia="en-GB"/>
              </w:rPr>
              <w:t>Demonstrate how a doctor can support concerns regarding practical and financial issues at end of life</w:t>
            </w:r>
          </w:p>
        </w:tc>
      </w:tr>
      <w:tr w:rsidR="006B715D" w:rsidRPr="00676303" w14:paraId="64A1FF4E" w14:textId="77777777" w:rsidTr="005B2359">
        <w:trPr>
          <w:trHeight w:val="575"/>
        </w:trPr>
        <w:tc>
          <w:tcPr>
            <w:tcW w:w="1413" w:type="dxa"/>
            <w:shd w:val="clear" w:color="auto" w:fill="D9E2F3" w:themeFill="accent1" w:themeFillTint="33"/>
          </w:tcPr>
          <w:p w14:paraId="7744539D" w14:textId="77777777" w:rsidR="006B715D" w:rsidRPr="00676303" w:rsidRDefault="006B715D"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Methods</w:t>
            </w:r>
          </w:p>
        </w:tc>
        <w:tc>
          <w:tcPr>
            <w:tcW w:w="7796" w:type="dxa"/>
            <w:shd w:val="clear" w:color="auto" w:fill="auto"/>
          </w:tcPr>
          <w:p w14:paraId="1348A300" w14:textId="77777777" w:rsidR="006B715D" w:rsidRPr="00676303" w:rsidRDefault="006B715D" w:rsidP="005B2359">
            <w:pPr>
              <w:pStyle w:val="ListParagraph"/>
              <w:numPr>
                <w:ilvl w:val="0"/>
                <w:numId w:val="1"/>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Problem based learning </w:t>
            </w:r>
          </w:p>
        </w:tc>
      </w:tr>
      <w:tr w:rsidR="006B715D" w:rsidRPr="00676303" w14:paraId="0EA0D43A" w14:textId="77777777" w:rsidTr="005B2359">
        <w:trPr>
          <w:trHeight w:val="1975"/>
        </w:trPr>
        <w:tc>
          <w:tcPr>
            <w:tcW w:w="1413" w:type="dxa"/>
            <w:shd w:val="clear" w:color="auto" w:fill="D9E2F3" w:themeFill="accent1" w:themeFillTint="33"/>
          </w:tcPr>
          <w:p w14:paraId="35CC380A" w14:textId="77777777" w:rsidR="006B715D" w:rsidRPr="00676303" w:rsidRDefault="006B715D"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Timing </w:t>
            </w:r>
          </w:p>
        </w:tc>
        <w:tc>
          <w:tcPr>
            <w:tcW w:w="7796" w:type="dxa"/>
            <w:shd w:val="clear" w:color="auto" w:fill="auto"/>
          </w:tcPr>
          <w:p w14:paraId="768EB644" w14:textId="77777777" w:rsidR="006B715D" w:rsidRPr="00676303" w:rsidRDefault="006B715D"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Session 1</w:t>
            </w:r>
          </w:p>
          <w:p w14:paraId="5BF3385A" w14:textId="77777777" w:rsidR="006B715D" w:rsidRPr="00676303" w:rsidRDefault="006B715D" w:rsidP="005B2359">
            <w:pPr>
              <w:pStyle w:val="ListParagraph"/>
              <w:numPr>
                <w:ilvl w:val="0"/>
                <w:numId w:val="2"/>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First component of case study provided to students who are assigned to group of ~8</w:t>
            </w:r>
          </w:p>
          <w:p w14:paraId="1CC5B308" w14:textId="77777777" w:rsidR="006B715D" w:rsidRPr="00676303" w:rsidRDefault="006B715D" w:rsidP="005B2359">
            <w:pPr>
              <w:pStyle w:val="ListParagraph"/>
              <w:numPr>
                <w:ilvl w:val="0"/>
                <w:numId w:val="2"/>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Students undertake independent, self-directed study and discuss finding amongst themselves (this could be through an online discussion) before returning to larger group</w:t>
            </w:r>
          </w:p>
          <w:p w14:paraId="677207AE" w14:textId="77777777" w:rsidR="006B715D" w:rsidRPr="00676303" w:rsidRDefault="006B715D" w:rsidP="005B2359">
            <w:pPr>
              <w:pStyle w:val="ListParagraph"/>
              <w:numPr>
                <w:ilvl w:val="0"/>
                <w:numId w:val="2"/>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Group ask incisive questions of tutor regarding factors yet unknown in the case</w:t>
            </w:r>
          </w:p>
          <w:p w14:paraId="1C9D8CE2" w14:textId="77777777" w:rsidR="006B715D" w:rsidRPr="00676303" w:rsidRDefault="006B715D"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Session 2</w:t>
            </w:r>
          </w:p>
          <w:p w14:paraId="63327871" w14:textId="77777777" w:rsidR="006B715D" w:rsidRPr="00676303" w:rsidRDefault="006B715D" w:rsidP="005B2359">
            <w:pPr>
              <w:pStyle w:val="ListParagraph"/>
              <w:numPr>
                <w:ilvl w:val="0"/>
                <w:numId w:val="3"/>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Second part of scenario provided answering key questions</w:t>
            </w:r>
          </w:p>
          <w:p w14:paraId="224365B0" w14:textId="77777777" w:rsidR="006B715D" w:rsidRPr="00676303" w:rsidRDefault="006B715D" w:rsidP="005B2359">
            <w:pPr>
              <w:pStyle w:val="ListParagraph"/>
              <w:numPr>
                <w:ilvl w:val="0"/>
                <w:numId w:val="3"/>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Group to formulate and present plan of care based on new knowledge</w:t>
            </w:r>
          </w:p>
        </w:tc>
      </w:tr>
      <w:tr w:rsidR="006B715D" w:rsidRPr="00676303" w14:paraId="4C07FC74" w14:textId="77777777" w:rsidTr="005B2359">
        <w:tc>
          <w:tcPr>
            <w:tcW w:w="1413" w:type="dxa"/>
            <w:shd w:val="clear" w:color="auto" w:fill="D9E2F3" w:themeFill="accent1" w:themeFillTint="33"/>
          </w:tcPr>
          <w:p w14:paraId="4AFA6CE4" w14:textId="77777777" w:rsidR="006B715D" w:rsidRPr="00676303" w:rsidRDefault="006B715D" w:rsidP="005B2359">
            <w:pPr>
              <w:spacing w:after="0" w:line="20" w:lineRule="atLeast"/>
              <w:rPr>
                <w:rFonts w:asciiTheme="minorHAnsi" w:hAnsiTheme="minorHAnsi" w:cs="Calibri"/>
                <w:b/>
                <w:sz w:val="20"/>
                <w:szCs w:val="20"/>
                <w:lang w:val="en-US"/>
              </w:rPr>
            </w:pPr>
            <w:bookmarkStart w:id="0" w:name="_GoBack" w:colFirst="1" w:colLast="1"/>
            <w:r w:rsidRPr="00676303">
              <w:rPr>
                <w:rFonts w:asciiTheme="minorHAnsi" w:hAnsiTheme="minorHAnsi" w:cs="Calibri"/>
                <w:b/>
                <w:sz w:val="20"/>
                <w:szCs w:val="20"/>
                <w:lang w:val="en-US"/>
              </w:rPr>
              <w:t xml:space="preserve">Bibliography/Resources </w:t>
            </w:r>
          </w:p>
        </w:tc>
        <w:tc>
          <w:tcPr>
            <w:tcW w:w="7796" w:type="dxa"/>
            <w:shd w:val="clear" w:color="auto" w:fill="auto"/>
          </w:tcPr>
          <w:p w14:paraId="04304D09" w14:textId="77777777" w:rsidR="006B715D" w:rsidRPr="00676303" w:rsidRDefault="006B715D" w:rsidP="003A7DE0">
            <w:pPr>
              <w:spacing w:after="12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 </w:t>
            </w:r>
            <w:proofErr w:type="spellStart"/>
            <w:r w:rsidRPr="00676303">
              <w:rPr>
                <w:rFonts w:asciiTheme="minorHAnsi" w:hAnsiTheme="minorHAnsi" w:cs="Calibri"/>
                <w:sz w:val="20"/>
                <w:szCs w:val="20"/>
                <w:lang w:val="en-US"/>
              </w:rPr>
              <w:t>Pivodic</w:t>
            </w:r>
            <w:proofErr w:type="spellEnd"/>
            <w:r w:rsidRPr="00676303">
              <w:rPr>
                <w:rFonts w:asciiTheme="minorHAnsi" w:hAnsiTheme="minorHAnsi" w:cs="Calibri"/>
                <w:sz w:val="20"/>
                <w:szCs w:val="20"/>
                <w:lang w:val="en-US"/>
              </w:rPr>
              <w:t xml:space="preserve">, L, et al., 2014. Burden on family </w:t>
            </w:r>
            <w:proofErr w:type="spellStart"/>
            <w:r w:rsidRPr="00676303">
              <w:rPr>
                <w:rFonts w:asciiTheme="minorHAnsi" w:hAnsiTheme="minorHAnsi" w:cs="Calibri"/>
                <w:sz w:val="20"/>
                <w:szCs w:val="20"/>
                <w:lang w:val="en-US"/>
              </w:rPr>
              <w:t>carers</w:t>
            </w:r>
            <w:proofErr w:type="spellEnd"/>
            <w:r w:rsidRPr="00676303">
              <w:rPr>
                <w:rFonts w:asciiTheme="minorHAnsi" w:hAnsiTheme="minorHAnsi" w:cs="Calibri"/>
                <w:sz w:val="20"/>
                <w:szCs w:val="20"/>
                <w:lang w:val="en-US"/>
              </w:rPr>
              <w:t xml:space="preserve"> and care-related financial strain at the end of life: a cross-national population-based study. The European Journal of Public Health, 24(5), pp.819-826. Available at: </w:t>
            </w:r>
            <w:hyperlink r:id="rId6" w:history="1">
              <w:r w:rsidRPr="00676303">
                <w:rPr>
                  <w:rStyle w:val="Hyperlink"/>
                  <w:rFonts w:asciiTheme="minorHAnsi" w:hAnsiTheme="minorHAnsi" w:cs="Calibri"/>
                  <w:sz w:val="20"/>
                  <w:szCs w:val="20"/>
                  <w:lang w:val="en-US"/>
                </w:rPr>
                <w:t>https://academic.oup.com/eurpub/article/24/5/819/477460</w:t>
              </w:r>
            </w:hyperlink>
            <w:r w:rsidRPr="00676303">
              <w:rPr>
                <w:rFonts w:asciiTheme="minorHAnsi" w:hAnsiTheme="minorHAnsi" w:cs="Calibri"/>
                <w:sz w:val="20"/>
                <w:szCs w:val="20"/>
                <w:lang w:val="en-US"/>
              </w:rPr>
              <w:t xml:space="preserve"> </w:t>
            </w:r>
          </w:p>
        </w:tc>
      </w:tr>
      <w:tr w:rsidR="006B715D" w:rsidRPr="00676303" w14:paraId="36A886E0" w14:textId="77777777" w:rsidTr="005B2359">
        <w:trPr>
          <w:trHeight w:val="70"/>
        </w:trPr>
        <w:tc>
          <w:tcPr>
            <w:tcW w:w="1413" w:type="dxa"/>
            <w:shd w:val="clear" w:color="auto" w:fill="D9E2F3" w:themeFill="accent1" w:themeFillTint="33"/>
          </w:tcPr>
          <w:p w14:paraId="696CD218" w14:textId="77777777" w:rsidR="006B715D" w:rsidRPr="00676303" w:rsidRDefault="006B715D"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Problem Based Learning References</w:t>
            </w:r>
          </w:p>
        </w:tc>
        <w:tc>
          <w:tcPr>
            <w:tcW w:w="7796" w:type="dxa"/>
            <w:shd w:val="clear" w:color="auto" w:fill="auto"/>
          </w:tcPr>
          <w:p w14:paraId="0EC4C866" w14:textId="77777777" w:rsidR="006B715D" w:rsidRPr="00676303" w:rsidRDefault="006B715D" w:rsidP="003A7DE0">
            <w:pPr>
              <w:spacing w:after="120" w:line="20" w:lineRule="atLeast"/>
              <w:rPr>
                <w:rFonts w:asciiTheme="minorHAnsi" w:hAnsiTheme="minorHAnsi" w:cs="Calibri"/>
                <w:sz w:val="20"/>
                <w:szCs w:val="20"/>
                <w:lang w:val="en-US"/>
              </w:rPr>
            </w:pPr>
            <w:proofErr w:type="spellStart"/>
            <w:r w:rsidRPr="00676303">
              <w:rPr>
                <w:rFonts w:asciiTheme="minorHAnsi" w:hAnsiTheme="minorHAnsi" w:cs="Calibri"/>
                <w:sz w:val="20"/>
                <w:szCs w:val="20"/>
                <w:lang w:val="en-US"/>
              </w:rPr>
              <w:t>Barral</w:t>
            </w:r>
            <w:proofErr w:type="spellEnd"/>
            <w:r w:rsidRPr="00676303">
              <w:rPr>
                <w:rFonts w:asciiTheme="minorHAnsi" w:hAnsiTheme="minorHAnsi" w:cs="Calibri"/>
                <w:sz w:val="20"/>
                <w:szCs w:val="20"/>
                <w:lang w:val="en-US"/>
              </w:rPr>
              <w:t xml:space="preserve">, J.M. and Buck, E., 2013. What, how and why is problem-based learning in medical education. Annual Review of Biochemistry, 12(8), pp.34-35. Available at </w:t>
            </w:r>
            <w:hyperlink r:id="rId7" w:history="1">
              <w:r w:rsidRPr="00676303">
                <w:rPr>
                  <w:rStyle w:val="Hyperlink"/>
                  <w:rFonts w:asciiTheme="minorHAnsi" w:hAnsiTheme="minorHAnsi" w:cs="Calibri"/>
                  <w:sz w:val="20"/>
                  <w:szCs w:val="20"/>
                  <w:lang w:val="en-US"/>
                </w:rPr>
                <w:t>http://www.asbmb.org/asbmbtoday/asbmbtoday_article.aspx?id=48713</w:t>
              </w:r>
            </w:hyperlink>
            <w:r w:rsidRPr="00676303">
              <w:rPr>
                <w:rFonts w:asciiTheme="minorHAnsi" w:hAnsiTheme="minorHAnsi" w:cs="Calibri"/>
                <w:sz w:val="20"/>
                <w:szCs w:val="20"/>
                <w:lang w:val="en-US"/>
              </w:rPr>
              <w:t xml:space="preserve"> </w:t>
            </w:r>
          </w:p>
          <w:p w14:paraId="2E48B730" w14:textId="77777777" w:rsidR="006B715D" w:rsidRPr="00676303" w:rsidRDefault="006B715D" w:rsidP="003A7DE0">
            <w:pPr>
              <w:spacing w:after="12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Mansur, D.I., </w:t>
            </w:r>
            <w:proofErr w:type="spellStart"/>
            <w:r w:rsidRPr="00676303">
              <w:rPr>
                <w:rFonts w:asciiTheme="minorHAnsi" w:hAnsiTheme="minorHAnsi" w:cs="Calibri"/>
                <w:sz w:val="20"/>
                <w:szCs w:val="20"/>
                <w:lang w:val="en-US"/>
              </w:rPr>
              <w:t>Kayastha</w:t>
            </w:r>
            <w:proofErr w:type="spellEnd"/>
            <w:r w:rsidRPr="00676303">
              <w:rPr>
                <w:rFonts w:asciiTheme="minorHAnsi" w:hAnsiTheme="minorHAnsi" w:cs="Calibri"/>
                <w:sz w:val="20"/>
                <w:szCs w:val="20"/>
                <w:lang w:val="en-US"/>
              </w:rPr>
              <w:t xml:space="preserve">, S.R., </w:t>
            </w:r>
            <w:proofErr w:type="spellStart"/>
            <w:r w:rsidRPr="00676303">
              <w:rPr>
                <w:rFonts w:asciiTheme="minorHAnsi" w:hAnsiTheme="minorHAnsi" w:cs="Calibri"/>
                <w:sz w:val="20"/>
                <w:szCs w:val="20"/>
                <w:lang w:val="en-US"/>
              </w:rPr>
              <w:t>Makaju</w:t>
            </w:r>
            <w:proofErr w:type="spellEnd"/>
            <w:r w:rsidRPr="00676303">
              <w:rPr>
                <w:rFonts w:asciiTheme="minorHAnsi" w:hAnsiTheme="minorHAnsi" w:cs="Calibri"/>
                <w:sz w:val="20"/>
                <w:szCs w:val="20"/>
                <w:lang w:val="en-US"/>
              </w:rPr>
              <w:t xml:space="preserve">, R. and </w:t>
            </w:r>
            <w:proofErr w:type="spellStart"/>
            <w:r w:rsidRPr="00676303">
              <w:rPr>
                <w:rFonts w:asciiTheme="minorHAnsi" w:hAnsiTheme="minorHAnsi" w:cs="Calibri"/>
                <w:sz w:val="20"/>
                <w:szCs w:val="20"/>
                <w:lang w:val="en-US"/>
              </w:rPr>
              <w:t>Dongol</w:t>
            </w:r>
            <w:proofErr w:type="spellEnd"/>
            <w:r w:rsidRPr="00676303">
              <w:rPr>
                <w:rFonts w:asciiTheme="minorHAnsi" w:hAnsiTheme="minorHAnsi" w:cs="Calibri"/>
                <w:sz w:val="20"/>
                <w:szCs w:val="20"/>
                <w:lang w:val="en-US"/>
              </w:rPr>
              <w:t xml:space="preserve">, M., 2012. Problem based learning in medical education. Kathmandu Univ Med J, 10(4), pp.78-82. Available at: </w:t>
            </w:r>
            <w:hyperlink r:id="rId8" w:history="1">
              <w:r w:rsidRPr="00676303">
                <w:rPr>
                  <w:rStyle w:val="Hyperlink"/>
                  <w:rFonts w:asciiTheme="minorHAnsi" w:hAnsiTheme="minorHAnsi" w:cs="Calibri"/>
                  <w:sz w:val="20"/>
                  <w:szCs w:val="20"/>
                  <w:lang w:val="en-US"/>
                </w:rPr>
                <w:t>http://mobile.kumj.com.np/issue/40/78-82.pdf</w:t>
              </w:r>
            </w:hyperlink>
            <w:r w:rsidRPr="00676303">
              <w:rPr>
                <w:rFonts w:asciiTheme="minorHAnsi" w:hAnsiTheme="minorHAnsi" w:cs="Calibri"/>
                <w:sz w:val="20"/>
                <w:szCs w:val="20"/>
                <w:lang w:val="en-US"/>
              </w:rPr>
              <w:t xml:space="preserve"> </w:t>
            </w:r>
          </w:p>
        </w:tc>
      </w:tr>
      <w:bookmarkEnd w:id="0"/>
    </w:tbl>
    <w:p w14:paraId="543DC015" w14:textId="77777777" w:rsidR="006F184C" w:rsidRDefault="006F184C"/>
    <w:sectPr w:rsidR="006F1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456E"/>
    <w:multiLevelType w:val="hybridMultilevel"/>
    <w:tmpl w:val="806AE7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69D6FFE"/>
    <w:multiLevelType w:val="hybridMultilevel"/>
    <w:tmpl w:val="7B92FC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F7C1A66"/>
    <w:multiLevelType w:val="hybridMultilevel"/>
    <w:tmpl w:val="C888A7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3E132527"/>
    <w:multiLevelType w:val="hybridMultilevel"/>
    <w:tmpl w:val="71A64C6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10651F7"/>
    <w:multiLevelType w:val="hybridMultilevel"/>
    <w:tmpl w:val="75F0D7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7A375E77"/>
    <w:multiLevelType w:val="hybridMultilevel"/>
    <w:tmpl w:val="93ACCC2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15D"/>
    <w:rsid w:val="003A7DE0"/>
    <w:rsid w:val="006B715D"/>
    <w:rsid w:val="006F1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22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15D"/>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15D"/>
    <w:pPr>
      <w:spacing w:after="200" w:line="276" w:lineRule="auto"/>
      <w:ind w:left="720"/>
      <w:contextualSpacing/>
    </w:pPr>
    <w:rPr>
      <w:lang w:val="ro-RO"/>
    </w:rPr>
  </w:style>
  <w:style w:type="character" w:styleId="Hyperlink">
    <w:name w:val="Hyperlink"/>
    <w:basedOn w:val="DefaultParagraphFont"/>
    <w:uiPriority w:val="99"/>
    <w:unhideWhenUsed/>
    <w:rsid w:val="006B715D"/>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15D"/>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15D"/>
    <w:pPr>
      <w:spacing w:after="200" w:line="276" w:lineRule="auto"/>
      <w:ind w:left="720"/>
      <w:contextualSpacing/>
    </w:pPr>
    <w:rPr>
      <w:lang w:val="ro-RO"/>
    </w:rPr>
  </w:style>
  <w:style w:type="character" w:styleId="Hyperlink">
    <w:name w:val="Hyperlink"/>
    <w:basedOn w:val="DefaultParagraphFont"/>
    <w:uiPriority w:val="99"/>
    <w:unhideWhenUsed/>
    <w:rsid w:val="006B71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kumj.com.np/issue/40/78-82.pdf" TargetMode="External"/><Relationship Id="rId3" Type="http://schemas.microsoft.com/office/2007/relationships/stylesWithEffects" Target="stylesWithEffects.xml"/><Relationship Id="rId7" Type="http://schemas.openxmlformats.org/officeDocument/2006/relationships/hyperlink" Target="http://www.asbmb.org/asbmbtoday/asbmbtoday_article.aspx?id=487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ademic.oup.com/eurpub/article/24/5/819/47746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403</Words>
  <Characters>2303</Characters>
  <Application>Microsoft Office Word</Application>
  <DocSecurity>0</DocSecurity>
  <Lines>19</Lines>
  <Paragraphs>5</Paragraphs>
  <ScaleCrop>false</ScaleCrop>
  <Company/>
  <LinksUpToDate>false</LinksUpToDate>
  <CharactersWithSpaces>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Stanciulescu</dc:creator>
  <cp:keywords/>
  <dc:description/>
  <cp:lastModifiedBy>Karen Charnley</cp:lastModifiedBy>
  <cp:revision>2</cp:revision>
  <dcterms:created xsi:type="dcterms:W3CDTF">2020-02-17T09:31:00Z</dcterms:created>
  <dcterms:modified xsi:type="dcterms:W3CDTF">2020-02-19T14:06:00Z</dcterms:modified>
</cp:coreProperties>
</file>