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7948"/>
      </w:tblGrid>
      <w:tr w:rsidR="00C50700" w:rsidRPr="00676303" w14:paraId="1B74BB07" w14:textId="77777777" w:rsidTr="005B2359">
        <w:tc>
          <w:tcPr>
            <w:tcW w:w="9361" w:type="dxa"/>
            <w:gridSpan w:val="2"/>
            <w:shd w:val="clear" w:color="auto" w:fill="D9E2F3" w:themeFill="accent1" w:themeFillTint="33"/>
          </w:tcPr>
          <w:p w14:paraId="6C192386" w14:textId="77777777" w:rsidR="00C50700" w:rsidRPr="00676303" w:rsidRDefault="00C50700" w:rsidP="005B2359">
            <w:pPr>
              <w:spacing w:after="0" w:line="20" w:lineRule="atLeast"/>
              <w:jc w:val="center"/>
              <w:rPr>
                <w:rFonts w:asciiTheme="minorHAnsi" w:hAnsiTheme="minorHAnsi" w:cs="Calibri"/>
                <w:b/>
                <w:i/>
                <w:sz w:val="20"/>
                <w:szCs w:val="20"/>
                <w:lang w:val="en-US"/>
              </w:rPr>
            </w:pPr>
            <w:bookmarkStart w:id="0" w:name="_Hlk31011827"/>
            <w:r w:rsidRPr="00676303">
              <w:rPr>
                <w:rFonts w:asciiTheme="minorHAnsi" w:hAnsiTheme="minorHAnsi" w:cs="Calibri"/>
                <w:b/>
                <w:i/>
                <w:sz w:val="20"/>
                <w:szCs w:val="20"/>
                <w:lang w:val="en-US"/>
              </w:rPr>
              <w:t xml:space="preserve">Lesson Plan </w:t>
            </w:r>
          </w:p>
        </w:tc>
      </w:tr>
      <w:tr w:rsidR="00C50700" w:rsidRPr="00676303" w14:paraId="387E1D2D" w14:textId="77777777" w:rsidTr="005B2359">
        <w:tc>
          <w:tcPr>
            <w:tcW w:w="1413" w:type="dxa"/>
            <w:shd w:val="clear" w:color="auto" w:fill="D9E2F3" w:themeFill="accent1" w:themeFillTint="33"/>
          </w:tcPr>
          <w:p w14:paraId="6837AC05"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Topic</w:t>
            </w:r>
          </w:p>
        </w:tc>
        <w:tc>
          <w:tcPr>
            <w:tcW w:w="7948" w:type="dxa"/>
            <w:shd w:val="clear" w:color="auto" w:fill="auto"/>
          </w:tcPr>
          <w:p w14:paraId="3ACF29A9" w14:textId="77777777" w:rsidR="00C50700" w:rsidRPr="00676303" w:rsidRDefault="00C5070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Psychosocial and Spiritual Aspects</w:t>
            </w:r>
          </w:p>
        </w:tc>
      </w:tr>
      <w:tr w:rsidR="00C50700" w:rsidRPr="00676303" w14:paraId="27DC3461" w14:textId="77777777" w:rsidTr="005B2359">
        <w:tc>
          <w:tcPr>
            <w:tcW w:w="1413" w:type="dxa"/>
            <w:shd w:val="clear" w:color="auto" w:fill="D9E2F3" w:themeFill="accent1" w:themeFillTint="33"/>
          </w:tcPr>
          <w:p w14:paraId="59320696"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Title</w:t>
            </w:r>
          </w:p>
        </w:tc>
        <w:tc>
          <w:tcPr>
            <w:tcW w:w="7948" w:type="dxa"/>
            <w:shd w:val="clear" w:color="auto" w:fill="auto"/>
          </w:tcPr>
          <w:p w14:paraId="6F338E04"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Loss, grief and bereavement</w:t>
            </w:r>
          </w:p>
        </w:tc>
      </w:tr>
      <w:tr w:rsidR="00C50700" w:rsidRPr="00676303" w14:paraId="7681FA6F" w14:textId="77777777" w:rsidTr="005B2359">
        <w:tc>
          <w:tcPr>
            <w:tcW w:w="1413" w:type="dxa"/>
            <w:shd w:val="clear" w:color="auto" w:fill="D9E2F3" w:themeFill="accent1" w:themeFillTint="33"/>
          </w:tcPr>
          <w:p w14:paraId="45D229B5"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Learning Outcome </w:t>
            </w:r>
          </w:p>
        </w:tc>
        <w:tc>
          <w:tcPr>
            <w:tcW w:w="7948" w:type="dxa"/>
            <w:shd w:val="clear" w:color="auto" w:fill="auto"/>
          </w:tcPr>
          <w:p w14:paraId="2A96CEA3" w14:textId="77777777" w:rsidR="00C50700" w:rsidRPr="00676303" w:rsidRDefault="00C50700" w:rsidP="005B2359">
            <w:pPr>
              <w:spacing w:after="0" w:line="20" w:lineRule="atLeast"/>
              <w:rPr>
                <w:rFonts w:asciiTheme="minorHAnsi" w:hAnsiTheme="minorHAnsi" w:cs="Calibri"/>
                <w:sz w:val="20"/>
                <w:szCs w:val="20"/>
                <w:lang w:val="en-US"/>
              </w:rPr>
            </w:pPr>
            <w:r w:rsidRPr="00676303">
              <w:rPr>
                <w:rFonts w:eastAsia="Times New Roman" w:cs="Calibri"/>
                <w:color w:val="000000"/>
                <w:sz w:val="20"/>
                <w:szCs w:val="20"/>
                <w:lang w:val="en-US" w:eastAsia="en-GB"/>
              </w:rPr>
              <w:t>Understand the causes and responses to loss and bereavement for patients (and their families) with chronic illness.</w:t>
            </w:r>
          </w:p>
        </w:tc>
      </w:tr>
      <w:tr w:rsidR="00C50700" w:rsidRPr="00676303" w14:paraId="743BFF44" w14:textId="77777777" w:rsidTr="005B2359">
        <w:tc>
          <w:tcPr>
            <w:tcW w:w="1413" w:type="dxa"/>
            <w:shd w:val="clear" w:color="auto" w:fill="D9E2F3" w:themeFill="accent1" w:themeFillTint="33"/>
          </w:tcPr>
          <w:p w14:paraId="73716F81"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Summary </w:t>
            </w:r>
          </w:p>
        </w:tc>
        <w:tc>
          <w:tcPr>
            <w:tcW w:w="7948" w:type="dxa"/>
            <w:shd w:val="clear" w:color="auto" w:fill="auto"/>
          </w:tcPr>
          <w:p w14:paraId="61CF9961" w14:textId="77777777" w:rsidR="00C50700" w:rsidRPr="00676303" w:rsidRDefault="00C50700" w:rsidP="005B2359">
            <w:pPr>
              <w:spacing w:after="0" w:line="20" w:lineRule="atLeast"/>
              <w:rPr>
                <w:rFonts w:asciiTheme="minorHAnsi" w:hAnsiTheme="minorHAnsi" w:cs="Calibri"/>
                <w:sz w:val="20"/>
                <w:szCs w:val="20"/>
                <w:lang w:val="en-US"/>
              </w:rPr>
            </w:pPr>
            <w:r w:rsidRPr="00676303">
              <w:rPr>
                <w:rFonts w:asciiTheme="minorHAnsi" w:hAnsiTheme="minorHAnsi"/>
                <w:sz w:val="20"/>
                <w:szCs w:val="20"/>
                <w:lang w:val="en-US"/>
              </w:rPr>
              <w:t>Dealing with loss, grief and bereavement for the person themselves, their family and the professionals who care for them is intrinsic to palliative care provision. Most people are able to deal with the consequences of loss without the need for clinical input, however, a minority of people are at risk of developing complications or difficulties in their grieving. Doctors have an important role in supporting families and identifying those who may require specialist intervention.</w:t>
            </w:r>
          </w:p>
        </w:tc>
      </w:tr>
      <w:tr w:rsidR="00C50700" w:rsidRPr="00676303" w14:paraId="312C9F49" w14:textId="77777777" w:rsidTr="005B2359">
        <w:tc>
          <w:tcPr>
            <w:tcW w:w="1413" w:type="dxa"/>
            <w:shd w:val="clear" w:color="auto" w:fill="D9E2F3" w:themeFill="accent1" w:themeFillTint="33"/>
          </w:tcPr>
          <w:p w14:paraId="3CBCDC86"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Objectives</w:t>
            </w:r>
          </w:p>
          <w:p w14:paraId="3464CE3B"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C - Cognition  </w:t>
            </w:r>
          </w:p>
          <w:p w14:paraId="1A488733"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S – Skills</w:t>
            </w:r>
          </w:p>
          <w:p w14:paraId="6B777A3B"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A – Attitudes</w:t>
            </w:r>
          </w:p>
          <w:p w14:paraId="619906F1" w14:textId="77777777" w:rsidR="00C50700" w:rsidRPr="00676303" w:rsidRDefault="00C50700" w:rsidP="005B2359">
            <w:pPr>
              <w:spacing w:after="0" w:line="20" w:lineRule="atLeast"/>
              <w:rPr>
                <w:rFonts w:asciiTheme="minorHAnsi" w:hAnsiTheme="minorHAnsi" w:cs="Calibri"/>
                <w:b/>
                <w:sz w:val="20"/>
                <w:szCs w:val="20"/>
                <w:lang w:val="en-US"/>
              </w:rPr>
            </w:pPr>
          </w:p>
        </w:tc>
        <w:tc>
          <w:tcPr>
            <w:tcW w:w="7948" w:type="dxa"/>
            <w:shd w:val="clear" w:color="auto" w:fill="auto"/>
          </w:tcPr>
          <w:p w14:paraId="46AC3FC4" w14:textId="77777777" w:rsidR="00C50700" w:rsidRPr="00676303" w:rsidRDefault="00C5070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Cognition:</w:t>
            </w:r>
          </w:p>
          <w:p w14:paraId="5917117A" w14:textId="77777777" w:rsidR="00C50700" w:rsidRPr="00676303" w:rsidRDefault="00C50700"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Identify and describe the losses (and their impact) that patients and their families face across the illness trajectory and (for families) after death, </w:t>
            </w:r>
          </w:p>
          <w:p w14:paraId="650655E7" w14:textId="4D12E815" w:rsidR="00C50700" w:rsidRPr="00676303" w:rsidRDefault="00C50700"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Describe and differentiate between loss, grief, bereavement and mourning, inclu</w:t>
            </w:r>
            <w:r w:rsidR="00DB57FC">
              <w:rPr>
                <w:rFonts w:asciiTheme="minorHAnsi" w:hAnsiTheme="minorHAnsi" w:cs="Calibri"/>
                <w:sz w:val="20"/>
                <w:szCs w:val="20"/>
                <w:lang w:val="en-US"/>
              </w:rPr>
              <w:t>d</w:t>
            </w:r>
            <w:r w:rsidRPr="00676303">
              <w:rPr>
                <w:rFonts w:asciiTheme="minorHAnsi" w:hAnsiTheme="minorHAnsi" w:cs="Calibri"/>
                <w:sz w:val="20"/>
                <w:szCs w:val="20"/>
                <w:lang w:val="en-US"/>
              </w:rPr>
              <w:t>ing triggers for abnormal of prolonged grief reactions.</w:t>
            </w:r>
          </w:p>
          <w:p w14:paraId="3F1A5DED" w14:textId="77777777" w:rsidR="00C50700" w:rsidRPr="00676303" w:rsidRDefault="00C50700"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eastAsia="Times New Roman" w:hAnsiTheme="minorHAnsi" w:cs="Calibri"/>
                <w:color w:val="000000"/>
                <w:sz w:val="20"/>
                <w:szCs w:val="20"/>
                <w:lang w:val="en-US" w:eastAsia="en-GB"/>
              </w:rPr>
              <w:t>Describe “normal” grief patterns.</w:t>
            </w:r>
          </w:p>
          <w:p w14:paraId="71923339" w14:textId="77777777" w:rsidR="00C50700" w:rsidRPr="00676303" w:rsidRDefault="00C50700" w:rsidP="005B2359">
            <w:pPr>
              <w:pStyle w:val="ListParagraph"/>
              <w:numPr>
                <w:ilvl w:val="0"/>
                <w:numId w:val="4"/>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Identify common loss/grief models and describe their value for practice, including identification of complex grief.</w:t>
            </w:r>
          </w:p>
          <w:p w14:paraId="10C401A7" w14:textId="77777777" w:rsidR="00C50700" w:rsidRPr="00676303" w:rsidRDefault="00C50700" w:rsidP="005B2359">
            <w:pPr>
              <w:spacing w:after="0" w:line="20" w:lineRule="atLeast"/>
              <w:contextualSpacing/>
              <w:rPr>
                <w:rFonts w:asciiTheme="minorHAnsi" w:eastAsiaTheme="minorHAnsi" w:hAnsiTheme="minorHAnsi" w:cstheme="minorHAnsi"/>
                <w:sz w:val="20"/>
                <w:szCs w:val="20"/>
                <w:lang w:val="en-US"/>
              </w:rPr>
            </w:pPr>
            <w:r w:rsidRPr="00676303">
              <w:rPr>
                <w:rFonts w:asciiTheme="minorHAnsi" w:eastAsiaTheme="minorHAnsi" w:hAnsiTheme="minorHAnsi" w:cstheme="minorHAnsi"/>
                <w:sz w:val="20"/>
                <w:szCs w:val="20"/>
                <w:lang w:val="en-US"/>
              </w:rPr>
              <w:t>Attitudes (will be monitored also during the clinical placement):</w:t>
            </w:r>
          </w:p>
          <w:p w14:paraId="4A802588" w14:textId="77777777" w:rsidR="00C50700" w:rsidRPr="00676303" w:rsidRDefault="00C50700" w:rsidP="005B2359">
            <w:pPr>
              <w:pStyle w:val="ListParagraph"/>
              <w:numPr>
                <w:ilvl w:val="0"/>
                <w:numId w:val="1"/>
              </w:numPr>
              <w:spacing w:after="0" w:line="20" w:lineRule="atLeast"/>
              <w:ind w:left="505"/>
              <w:rPr>
                <w:rFonts w:asciiTheme="minorHAnsi" w:hAnsiTheme="minorHAnsi" w:cs="Calibri"/>
                <w:sz w:val="20"/>
                <w:szCs w:val="20"/>
                <w:lang w:val="en-US"/>
              </w:rPr>
            </w:pPr>
            <w:r w:rsidRPr="00676303">
              <w:rPr>
                <w:rFonts w:asciiTheme="minorHAnsi" w:eastAsia="Times New Roman" w:hAnsiTheme="minorHAnsi" w:cs="Calibri"/>
                <w:color w:val="000000"/>
                <w:sz w:val="20"/>
                <w:szCs w:val="20"/>
                <w:lang w:val="en-US" w:eastAsia="en-GB"/>
              </w:rPr>
              <w:t>Demonstrate an understanding of, and ability to screen for risk factors for complicated responses to loss/bereavement in the patient and their family</w:t>
            </w:r>
          </w:p>
        </w:tc>
      </w:tr>
      <w:tr w:rsidR="00C50700" w:rsidRPr="00676303" w14:paraId="63F89DC0" w14:textId="77777777" w:rsidTr="005B2359">
        <w:tc>
          <w:tcPr>
            <w:tcW w:w="1413" w:type="dxa"/>
            <w:shd w:val="clear" w:color="auto" w:fill="D9E2F3" w:themeFill="accent1" w:themeFillTint="33"/>
          </w:tcPr>
          <w:p w14:paraId="17E774EF"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Learning Methods</w:t>
            </w:r>
          </w:p>
        </w:tc>
        <w:tc>
          <w:tcPr>
            <w:tcW w:w="7948" w:type="dxa"/>
            <w:shd w:val="clear" w:color="auto" w:fill="auto"/>
          </w:tcPr>
          <w:p w14:paraId="257DBE42" w14:textId="77777777" w:rsidR="00C50700" w:rsidRPr="00676303" w:rsidRDefault="00C50700" w:rsidP="005B2359">
            <w:pPr>
              <w:pStyle w:val="ListParagraph"/>
              <w:numPr>
                <w:ilvl w:val="0"/>
                <w:numId w:val="3"/>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Seminar, video and case discussion</w:t>
            </w:r>
          </w:p>
        </w:tc>
      </w:tr>
      <w:tr w:rsidR="00C50700" w:rsidRPr="00676303" w14:paraId="3D074192" w14:textId="77777777" w:rsidTr="00D83C74">
        <w:trPr>
          <w:trHeight w:val="1576"/>
        </w:trPr>
        <w:tc>
          <w:tcPr>
            <w:tcW w:w="1413" w:type="dxa"/>
            <w:shd w:val="clear" w:color="auto" w:fill="D9E2F3" w:themeFill="accent1" w:themeFillTint="33"/>
          </w:tcPr>
          <w:p w14:paraId="53C8BC4B"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Timing </w:t>
            </w:r>
          </w:p>
        </w:tc>
        <w:tc>
          <w:tcPr>
            <w:tcW w:w="7948" w:type="dxa"/>
            <w:shd w:val="clear" w:color="auto" w:fill="auto"/>
          </w:tcPr>
          <w:p w14:paraId="56EC7883" w14:textId="77777777" w:rsidR="00C50700" w:rsidRPr="00676303" w:rsidRDefault="00C5070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Seminar</w:t>
            </w:r>
          </w:p>
          <w:p w14:paraId="48D82FAD" w14:textId="77777777" w:rsidR="00C50700" w:rsidRPr="00676303" w:rsidRDefault="00C50700"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Definitions of terminology associated with loss, grief and bereavement.</w:t>
            </w:r>
          </w:p>
          <w:p w14:paraId="28A9E3E1" w14:textId="77777777" w:rsidR="00C50700" w:rsidRPr="00676303" w:rsidRDefault="00C50700"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Bereavement theories and models</w:t>
            </w:r>
          </w:p>
          <w:p w14:paraId="1897F506" w14:textId="77777777" w:rsidR="00C50700" w:rsidRPr="00676303" w:rsidRDefault="00C50700" w:rsidP="005B2359">
            <w:pPr>
              <w:pStyle w:val="ListParagraph"/>
              <w:numPr>
                <w:ilvl w:val="0"/>
                <w:numId w:val="2"/>
              </w:num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Risk factors for complicated grief</w:t>
            </w:r>
          </w:p>
          <w:p w14:paraId="402A979D" w14:textId="3230905E" w:rsidR="00C50700" w:rsidRPr="00676303" w:rsidRDefault="00C50700" w:rsidP="005B2359">
            <w:pPr>
              <w:spacing w:after="0" w:line="20" w:lineRule="atLeast"/>
              <w:rPr>
                <w:rFonts w:asciiTheme="minorHAnsi" w:hAnsiTheme="minorHAnsi" w:cs="Calibri"/>
                <w:sz w:val="20"/>
                <w:szCs w:val="20"/>
                <w:lang w:val="en-US"/>
              </w:rPr>
            </w:pPr>
            <w:r w:rsidRPr="00676303">
              <w:rPr>
                <w:rFonts w:asciiTheme="minorHAnsi" w:hAnsiTheme="minorHAnsi" w:cs="Calibri"/>
                <w:sz w:val="20"/>
                <w:szCs w:val="20"/>
                <w:lang w:val="en-US"/>
              </w:rPr>
              <w:t>Case studies (text or video) describing normal/abnormal grief responses (students to discuss management in facilitated group discussion ) (60 minutes)</w:t>
            </w:r>
          </w:p>
        </w:tc>
      </w:tr>
      <w:tr w:rsidR="00C50700" w:rsidRPr="00676303" w14:paraId="2FD3212F" w14:textId="77777777" w:rsidTr="005B2359">
        <w:tc>
          <w:tcPr>
            <w:tcW w:w="1413" w:type="dxa"/>
            <w:shd w:val="clear" w:color="auto" w:fill="D9E2F3" w:themeFill="accent1" w:themeFillTint="33"/>
          </w:tcPr>
          <w:p w14:paraId="5A6B4837" w14:textId="77777777" w:rsidR="00C50700" w:rsidRPr="00676303" w:rsidRDefault="00C50700" w:rsidP="005B2359">
            <w:pPr>
              <w:spacing w:after="0" w:line="20" w:lineRule="atLeast"/>
              <w:rPr>
                <w:rFonts w:asciiTheme="minorHAnsi" w:hAnsiTheme="minorHAnsi" w:cs="Calibri"/>
                <w:b/>
                <w:sz w:val="20"/>
                <w:szCs w:val="20"/>
                <w:lang w:val="en-US"/>
              </w:rPr>
            </w:pPr>
            <w:r w:rsidRPr="00676303">
              <w:rPr>
                <w:rFonts w:asciiTheme="minorHAnsi" w:hAnsiTheme="minorHAnsi" w:cs="Calibri"/>
                <w:b/>
                <w:sz w:val="20"/>
                <w:szCs w:val="20"/>
                <w:lang w:val="en-US"/>
              </w:rPr>
              <w:t xml:space="preserve">Bibliography/Resources </w:t>
            </w:r>
          </w:p>
        </w:tc>
        <w:tc>
          <w:tcPr>
            <w:tcW w:w="7948" w:type="dxa"/>
            <w:shd w:val="clear" w:color="auto" w:fill="auto"/>
          </w:tcPr>
          <w:p w14:paraId="60BE5F70" w14:textId="77777777" w:rsidR="00C50700" w:rsidRPr="00676303" w:rsidRDefault="00C50700" w:rsidP="00D83C74">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Davis EL, Deane FP, Barclay GD, Bourne J, Connolly V. Attitudes of palliative care clinical staff toward prolonged grief disorder diagnosis and grief interventions. Palliative &amp; supportive care. 2017 Jul:1-8.</w:t>
            </w:r>
          </w:p>
          <w:p w14:paraId="02603664" w14:textId="77777777" w:rsidR="00C50700" w:rsidRPr="00676303" w:rsidRDefault="00C50700" w:rsidP="00D83C74">
            <w:pPr>
              <w:spacing w:after="120" w:line="20" w:lineRule="atLeast"/>
              <w:rPr>
                <w:rFonts w:asciiTheme="minorHAnsi" w:hAnsiTheme="minorHAnsi" w:cs="Arial"/>
                <w:color w:val="222222"/>
                <w:sz w:val="20"/>
                <w:szCs w:val="20"/>
                <w:shd w:val="clear" w:color="auto" w:fill="FFFFFF"/>
                <w:lang w:val="en-US"/>
              </w:rPr>
            </w:pPr>
            <w:r w:rsidRPr="00676303">
              <w:rPr>
                <w:rFonts w:asciiTheme="minorHAnsi" w:hAnsiTheme="minorHAnsi" w:cs="Arial"/>
                <w:color w:val="222222"/>
                <w:sz w:val="20"/>
                <w:szCs w:val="20"/>
                <w:shd w:val="clear" w:color="auto" w:fill="FFFFFF"/>
                <w:lang w:val="en-US"/>
              </w:rPr>
              <w:t>Hudson P, Hall C, Boughey A, Roulston A. Bereavement support standards and bereavement care pathway for quality palliative care. Palliative &amp; supportive care. 2017 Jul:1-3.</w:t>
            </w:r>
          </w:p>
          <w:p w14:paraId="4013409E" w14:textId="77777777" w:rsidR="00C50700" w:rsidRPr="00676303" w:rsidRDefault="00C50700" w:rsidP="00D83C74">
            <w:pPr>
              <w:spacing w:after="120" w:line="20" w:lineRule="atLeast"/>
              <w:rPr>
                <w:rFonts w:asciiTheme="minorHAnsi" w:hAnsiTheme="minorHAnsi" w:cs="Calibri"/>
                <w:sz w:val="20"/>
                <w:szCs w:val="20"/>
                <w:lang w:val="en-US"/>
              </w:rPr>
            </w:pPr>
            <w:r w:rsidRPr="00676303">
              <w:rPr>
                <w:rFonts w:asciiTheme="minorHAnsi" w:hAnsiTheme="minorHAnsi" w:cs="Arial"/>
                <w:color w:val="222222"/>
                <w:sz w:val="20"/>
                <w:szCs w:val="20"/>
                <w:shd w:val="clear" w:color="auto" w:fill="FFFFFF"/>
                <w:lang w:val="en-US"/>
              </w:rPr>
              <w:t>Sealey M, Breen LJ, O’Connor M, Aoun SM. A scoping review of bereavement risk assessment measures: Implications for palliative care. Palliative medicine. 2015 Jul;29(7):577-89.</w:t>
            </w:r>
          </w:p>
          <w:p w14:paraId="3DA2C046" w14:textId="77777777" w:rsidR="00C50700" w:rsidRPr="00676303" w:rsidRDefault="00C50700" w:rsidP="00D83C74">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 xml:space="preserve">Thomas K, Hudson P, </w:t>
            </w:r>
            <w:proofErr w:type="spellStart"/>
            <w:r w:rsidRPr="00676303">
              <w:rPr>
                <w:rFonts w:asciiTheme="minorHAnsi" w:hAnsiTheme="minorHAnsi" w:cs="Calibri"/>
                <w:sz w:val="20"/>
                <w:szCs w:val="20"/>
                <w:lang w:val="en-US"/>
              </w:rPr>
              <w:t>Trauer</w:t>
            </w:r>
            <w:proofErr w:type="spellEnd"/>
            <w:r w:rsidRPr="00676303">
              <w:rPr>
                <w:rFonts w:asciiTheme="minorHAnsi" w:hAnsiTheme="minorHAnsi" w:cs="Calibri"/>
                <w:sz w:val="20"/>
                <w:szCs w:val="20"/>
                <w:lang w:val="en-US"/>
              </w:rPr>
              <w:t xml:space="preserve"> T, Remedios C, Clarke D. Risk factors for developing prolonged grief during bereavement in family </w:t>
            </w:r>
            <w:proofErr w:type="spellStart"/>
            <w:r w:rsidRPr="00676303">
              <w:rPr>
                <w:rFonts w:asciiTheme="minorHAnsi" w:hAnsiTheme="minorHAnsi" w:cs="Calibri"/>
                <w:sz w:val="20"/>
                <w:szCs w:val="20"/>
                <w:lang w:val="en-US"/>
              </w:rPr>
              <w:t>carers</w:t>
            </w:r>
            <w:proofErr w:type="spellEnd"/>
            <w:r w:rsidRPr="00676303">
              <w:rPr>
                <w:rFonts w:asciiTheme="minorHAnsi" w:hAnsiTheme="minorHAnsi" w:cs="Calibri"/>
                <w:sz w:val="20"/>
                <w:szCs w:val="20"/>
                <w:lang w:val="en-US"/>
              </w:rPr>
              <w:t xml:space="preserve"> of cancer patients in palliative care: a longitudinal study. Journal of Pain and Symptom Management. 2014 Mar 1;47(3):531-41.</w:t>
            </w:r>
          </w:p>
          <w:p w14:paraId="27B703DD" w14:textId="77777777" w:rsidR="00C50700" w:rsidRPr="00676303" w:rsidRDefault="00C50700" w:rsidP="00D83C74">
            <w:pPr>
              <w:spacing w:after="120" w:line="20" w:lineRule="atLeast"/>
              <w:rPr>
                <w:rFonts w:asciiTheme="minorHAnsi" w:hAnsiTheme="minorHAnsi" w:cs="Calibri"/>
                <w:sz w:val="20"/>
                <w:szCs w:val="20"/>
                <w:lang w:val="en-US"/>
              </w:rPr>
            </w:pPr>
            <w:r w:rsidRPr="00676303">
              <w:rPr>
                <w:rFonts w:asciiTheme="minorHAnsi" w:hAnsiTheme="minorHAnsi" w:cs="Calibri"/>
                <w:sz w:val="20"/>
                <w:szCs w:val="20"/>
                <w:lang w:val="en-US"/>
              </w:rPr>
              <w:t>Online resources</w:t>
            </w:r>
            <w:bookmarkStart w:id="1" w:name="_GoBack"/>
            <w:bookmarkEnd w:id="1"/>
          </w:p>
          <w:p w14:paraId="331C053C" w14:textId="77777777" w:rsidR="00C50700" w:rsidRPr="00676303" w:rsidRDefault="00D83C74" w:rsidP="00D83C74">
            <w:pPr>
              <w:spacing w:after="120" w:line="20" w:lineRule="atLeast"/>
              <w:rPr>
                <w:rFonts w:asciiTheme="minorHAnsi" w:hAnsiTheme="minorHAnsi" w:cs="Calibri"/>
                <w:color w:val="000000" w:themeColor="text1"/>
                <w:sz w:val="20"/>
                <w:szCs w:val="20"/>
                <w:lang w:val="en-US"/>
              </w:rPr>
            </w:pPr>
            <w:hyperlink r:id="rId6" w:history="1">
              <w:r w:rsidR="00C50700" w:rsidRPr="00676303">
                <w:rPr>
                  <w:rStyle w:val="Hyperlink"/>
                  <w:rFonts w:asciiTheme="minorHAnsi" w:hAnsiTheme="minorHAnsi" w:cs="Calibri"/>
                  <w:sz w:val="20"/>
                  <w:szCs w:val="20"/>
                  <w:lang w:val="en-US"/>
                </w:rPr>
                <w:t>https://www.ted.com/talks/jason_b_rosenthal_the_journey_through_loss_and_grief</w:t>
              </w:r>
            </w:hyperlink>
            <w:r w:rsidR="00C50700" w:rsidRPr="00676303">
              <w:rPr>
                <w:rFonts w:asciiTheme="minorHAnsi" w:hAnsiTheme="minorHAnsi" w:cs="Calibri"/>
                <w:color w:val="000000" w:themeColor="text1"/>
                <w:sz w:val="20"/>
                <w:szCs w:val="20"/>
                <w:lang w:val="en-US"/>
              </w:rPr>
              <w:t xml:space="preserve"> </w:t>
            </w:r>
          </w:p>
          <w:p w14:paraId="5501A15E" w14:textId="77777777" w:rsidR="00C50700" w:rsidRPr="00676303" w:rsidRDefault="00C50700" w:rsidP="00D83C74">
            <w:pPr>
              <w:spacing w:after="120" w:line="20" w:lineRule="atLeast"/>
              <w:rPr>
                <w:rFonts w:asciiTheme="minorHAnsi" w:hAnsiTheme="minorHAnsi"/>
                <w:color w:val="000000" w:themeColor="text1"/>
                <w:sz w:val="20"/>
                <w:szCs w:val="20"/>
                <w:shd w:val="clear" w:color="auto" w:fill="FFFFFF"/>
                <w:lang w:val="en-US"/>
              </w:rPr>
            </w:pPr>
            <w:r w:rsidRPr="00676303">
              <w:rPr>
                <w:rFonts w:asciiTheme="minorHAnsi" w:hAnsiTheme="minorHAnsi"/>
                <w:color w:val="000000" w:themeColor="text1"/>
                <w:sz w:val="20"/>
                <w:szCs w:val="20"/>
                <w:shd w:val="clear" w:color="auto" w:fill="FFFFFF"/>
                <w:lang w:val="en-US"/>
              </w:rPr>
              <w:t xml:space="preserve">In her brutally honest, ironically funny and widely read meditation on death, "You May Want to Marry My Husband," the late author and filmmaker Amy Krouse Rosenthal gave her husband Jason very public permission to move on and find happiness. A year after her death, Jason offers candid insights on the often-excruciating process of moving through and with loss -- as well as some quiet wisdom for anyone else experiencing life-changing grief. </w:t>
            </w:r>
            <w:hyperlink r:id="rId7" w:history="1">
              <w:r w:rsidRPr="00676303">
                <w:rPr>
                  <w:rStyle w:val="Hyperlink"/>
                  <w:rFonts w:asciiTheme="minorHAnsi" w:hAnsiTheme="minorHAnsi"/>
                  <w:sz w:val="20"/>
                  <w:szCs w:val="20"/>
                  <w:shd w:val="clear" w:color="auto" w:fill="FFFFFF"/>
                  <w:lang w:val="en-US"/>
                </w:rPr>
                <w:t>https://nyti.ms/2lGIyA4</w:t>
              </w:r>
            </w:hyperlink>
            <w:r w:rsidRPr="00676303">
              <w:rPr>
                <w:rFonts w:asciiTheme="minorHAnsi" w:hAnsiTheme="minorHAnsi"/>
                <w:color w:val="000000" w:themeColor="text1"/>
                <w:sz w:val="20"/>
                <w:szCs w:val="20"/>
                <w:shd w:val="clear" w:color="auto" w:fill="FFFFFF"/>
                <w:lang w:val="en-US"/>
              </w:rPr>
              <w:t xml:space="preserve"> </w:t>
            </w:r>
          </w:p>
          <w:p w14:paraId="3A98736F" w14:textId="77777777" w:rsidR="00C50700" w:rsidRPr="00676303" w:rsidRDefault="00C50700" w:rsidP="00D83C74">
            <w:pPr>
              <w:spacing w:after="120" w:line="20" w:lineRule="atLeast"/>
              <w:rPr>
                <w:rFonts w:asciiTheme="minorHAnsi" w:hAnsiTheme="minorHAnsi"/>
                <w:color w:val="000000" w:themeColor="text1"/>
                <w:sz w:val="20"/>
                <w:szCs w:val="20"/>
                <w:shd w:val="clear" w:color="auto" w:fill="FFFFFF"/>
                <w:lang w:val="en-US"/>
              </w:rPr>
            </w:pPr>
            <w:r w:rsidRPr="00676303">
              <w:rPr>
                <w:rFonts w:asciiTheme="minorHAnsi" w:hAnsiTheme="minorHAnsi"/>
                <w:color w:val="000000" w:themeColor="text1"/>
                <w:sz w:val="20"/>
                <w:szCs w:val="20"/>
                <w:shd w:val="clear" w:color="auto" w:fill="FFFFFF"/>
                <w:lang w:val="en-US"/>
              </w:rPr>
              <w:lastRenderedPageBreak/>
              <w:t xml:space="preserve">Finding Hope in Hopelessness. Peta Murchison is a mother dedicated to raising awareness for Batten Disease, who shares her story of loss. </w:t>
            </w:r>
            <w:hyperlink r:id="rId8" w:history="1">
              <w:r w:rsidRPr="00676303">
                <w:rPr>
                  <w:rStyle w:val="Hyperlink"/>
                  <w:rFonts w:asciiTheme="minorHAnsi" w:hAnsiTheme="minorHAnsi"/>
                  <w:sz w:val="20"/>
                  <w:szCs w:val="20"/>
                  <w:shd w:val="clear" w:color="auto" w:fill="FFFFFF"/>
                  <w:lang w:val="en-US"/>
                </w:rPr>
                <w:t>https://youtu.be/iGQbWJbi3hg</w:t>
              </w:r>
            </w:hyperlink>
            <w:r w:rsidRPr="00676303">
              <w:rPr>
                <w:rFonts w:asciiTheme="minorHAnsi" w:hAnsiTheme="minorHAnsi"/>
                <w:color w:val="000000" w:themeColor="text1"/>
                <w:sz w:val="20"/>
                <w:szCs w:val="20"/>
                <w:shd w:val="clear" w:color="auto" w:fill="FFFFFF"/>
                <w:lang w:val="en-US"/>
              </w:rPr>
              <w:t xml:space="preserve"> </w:t>
            </w:r>
          </w:p>
          <w:p w14:paraId="2D637B1E" w14:textId="6B968F18" w:rsidR="00C50700" w:rsidRPr="00676303" w:rsidRDefault="00C50700" w:rsidP="00D83C74">
            <w:pPr>
              <w:shd w:val="clear" w:color="auto" w:fill="FFFFFF"/>
              <w:spacing w:after="120" w:line="20" w:lineRule="atLeast"/>
              <w:outlineLvl w:val="0"/>
              <w:rPr>
                <w:rFonts w:asciiTheme="minorHAnsi" w:hAnsiTheme="minorHAnsi" w:cs="Calibri"/>
                <w:color w:val="000000" w:themeColor="text1"/>
                <w:sz w:val="20"/>
                <w:szCs w:val="20"/>
                <w:lang w:val="en-US"/>
              </w:rPr>
            </w:pPr>
            <w:r w:rsidRPr="00676303">
              <w:rPr>
                <w:rFonts w:asciiTheme="minorHAnsi" w:eastAsia="Times New Roman" w:hAnsiTheme="minorHAnsi" w:cs="Arial"/>
                <w:kern w:val="36"/>
                <w:sz w:val="20"/>
                <w:szCs w:val="20"/>
                <w:lang w:val="en-US" w:eastAsia="en-GB"/>
              </w:rPr>
              <w:t>The Grieving Process: Coping with Death.</w:t>
            </w:r>
            <w:r w:rsidRPr="00676303">
              <w:rPr>
                <w:rFonts w:asciiTheme="minorHAnsi" w:hAnsiTheme="minorHAnsi"/>
                <w:sz w:val="20"/>
                <w:szCs w:val="20"/>
                <w:lang w:val="en-US"/>
              </w:rPr>
              <w:t xml:space="preserve"> </w:t>
            </w:r>
            <w:r w:rsidRPr="00676303">
              <w:rPr>
                <w:rFonts w:asciiTheme="minorHAnsi" w:eastAsia="Times New Roman" w:hAnsiTheme="minorHAnsi" w:cs="Arial"/>
                <w:kern w:val="36"/>
                <w:sz w:val="20"/>
                <w:szCs w:val="20"/>
                <w:lang w:val="en-US" w:eastAsia="en-GB"/>
              </w:rPr>
              <w:t xml:space="preserve">WELLCAST: exploring the physical, mental and emotional paths to wellness.   </w:t>
            </w:r>
            <w:hyperlink r:id="rId9" w:history="1">
              <w:r w:rsidRPr="00676303">
                <w:rPr>
                  <w:rStyle w:val="Hyperlink"/>
                  <w:rFonts w:asciiTheme="minorHAnsi" w:hAnsiTheme="minorHAnsi" w:cs="Calibri"/>
                  <w:sz w:val="20"/>
                  <w:szCs w:val="20"/>
                  <w:lang w:val="en-US"/>
                </w:rPr>
                <w:t>https://www.youtube.com/watch?v=gsYL4PC0hyk</w:t>
              </w:r>
            </w:hyperlink>
            <w:r w:rsidRPr="00676303">
              <w:rPr>
                <w:rFonts w:asciiTheme="minorHAnsi" w:hAnsiTheme="minorHAnsi" w:cs="Calibri"/>
                <w:color w:val="000000" w:themeColor="text1"/>
                <w:sz w:val="20"/>
                <w:szCs w:val="20"/>
                <w:lang w:val="en-US"/>
              </w:rPr>
              <w:t xml:space="preserve"> </w:t>
            </w:r>
          </w:p>
          <w:p w14:paraId="5C76F5FA" w14:textId="77777777" w:rsidR="00C50700" w:rsidRPr="00676303" w:rsidRDefault="00C50700" w:rsidP="00D83C74">
            <w:pPr>
              <w:shd w:val="clear" w:color="auto" w:fill="FFFFFF"/>
              <w:spacing w:after="120" w:line="20" w:lineRule="atLeast"/>
              <w:outlineLvl w:val="0"/>
              <w:rPr>
                <w:rFonts w:asciiTheme="minorHAnsi" w:hAnsiTheme="minorHAnsi" w:cs="Calibri"/>
                <w:color w:val="000000" w:themeColor="text1"/>
                <w:sz w:val="20"/>
                <w:szCs w:val="20"/>
                <w:lang w:val="en-US"/>
              </w:rPr>
            </w:pPr>
            <w:r w:rsidRPr="00676303">
              <w:rPr>
                <w:rFonts w:asciiTheme="minorHAnsi" w:hAnsiTheme="minorHAnsi" w:cs="Calibri"/>
                <w:color w:val="000000" w:themeColor="text1"/>
                <w:sz w:val="20"/>
                <w:szCs w:val="20"/>
                <w:lang w:val="en-US"/>
              </w:rPr>
              <w:t xml:space="preserve">Grief is something that nearly all of us will experience but it's something that most of us find difficult to talk about. This week on Like Minds, we find out what grief is, that it's very individual for all of us and why you don't have to "get over" it. (BBC, </w:t>
            </w:r>
          </w:p>
          <w:p w14:paraId="5AC76DFB" w14:textId="77777777" w:rsidR="00C50700" w:rsidRPr="00676303" w:rsidRDefault="00D83C74" w:rsidP="00D83C74">
            <w:pPr>
              <w:spacing w:after="120" w:line="20" w:lineRule="atLeast"/>
              <w:rPr>
                <w:rFonts w:asciiTheme="minorHAnsi" w:hAnsiTheme="minorHAnsi" w:cs="Calibri"/>
                <w:sz w:val="20"/>
                <w:szCs w:val="20"/>
                <w:lang w:val="en-US"/>
              </w:rPr>
            </w:pPr>
            <w:hyperlink r:id="rId10" w:history="1">
              <w:r w:rsidR="00C50700" w:rsidRPr="00676303">
                <w:rPr>
                  <w:rStyle w:val="Hyperlink"/>
                  <w:rFonts w:asciiTheme="minorHAnsi" w:hAnsiTheme="minorHAnsi" w:cs="Calibri"/>
                  <w:sz w:val="20"/>
                  <w:szCs w:val="20"/>
                  <w:lang w:val="en-US"/>
                </w:rPr>
                <w:t>https://www.youtube.com/watch?v=X55TJRj9HUk</w:t>
              </w:r>
            </w:hyperlink>
            <w:r w:rsidR="00C50700" w:rsidRPr="00676303">
              <w:rPr>
                <w:rFonts w:asciiTheme="minorHAnsi" w:hAnsiTheme="minorHAnsi" w:cs="Calibri"/>
                <w:sz w:val="20"/>
                <w:szCs w:val="20"/>
                <w:lang w:val="en-US"/>
              </w:rPr>
              <w:t xml:space="preserve"> </w:t>
            </w:r>
          </w:p>
        </w:tc>
      </w:tr>
      <w:bookmarkEnd w:id="0"/>
    </w:tbl>
    <w:p w14:paraId="2C8CA47E" w14:textId="77777777" w:rsidR="006F184C" w:rsidRDefault="006F184C"/>
    <w:sectPr w:rsidR="006F1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0CE8"/>
    <w:multiLevelType w:val="hybridMultilevel"/>
    <w:tmpl w:val="71A64C6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8B17E4"/>
    <w:multiLevelType w:val="hybridMultilevel"/>
    <w:tmpl w:val="498CEB7E"/>
    <w:lvl w:ilvl="0" w:tplc="B3507104">
      <w:start w:val="1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0250F8E"/>
    <w:multiLevelType w:val="hybridMultilevel"/>
    <w:tmpl w:val="C002B4A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10651F7"/>
    <w:multiLevelType w:val="hybridMultilevel"/>
    <w:tmpl w:val="75F0D7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700"/>
    <w:rsid w:val="003B68B5"/>
    <w:rsid w:val="006F184C"/>
    <w:rsid w:val="00C50700"/>
    <w:rsid w:val="00D83C74"/>
    <w:rsid w:val="00DB5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5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00"/>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700"/>
    <w:pPr>
      <w:spacing w:after="200" w:line="276" w:lineRule="auto"/>
      <w:ind w:left="720"/>
      <w:contextualSpacing/>
    </w:pPr>
    <w:rPr>
      <w:lang w:val="ro-RO"/>
    </w:rPr>
  </w:style>
  <w:style w:type="character" w:styleId="Hyperlink">
    <w:name w:val="Hyperlink"/>
    <w:basedOn w:val="DefaultParagraphFont"/>
    <w:uiPriority w:val="99"/>
    <w:unhideWhenUsed/>
    <w:rsid w:val="00C5070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00"/>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700"/>
    <w:pPr>
      <w:spacing w:after="200" w:line="276" w:lineRule="auto"/>
      <w:ind w:left="720"/>
      <w:contextualSpacing/>
    </w:pPr>
    <w:rPr>
      <w:lang w:val="ro-RO"/>
    </w:rPr>
  </w:style>
  <w:style w:type="character" w:styleId="Hyperlink">
    <w:name w:val="Hyperlink"/>
    <w:basedOn w:val="DefaultParagraphFont"/>
    <w:uiPriority w:val="99"/>
    <w:unhideWhenUsed/>
    <w:rsid w:val="00C507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iGQbWJbi3hg" TargetMode="External"/><Relationship Id="rId3" Type="http://schemas.microsoft.com/office/2007/relationships/stylesWithEffects" Target="stylesWithEffects.xml"/><Relationship Id="rId7" Type="http://schemas.openxmlformats.org/officeDocument/2006/relationships/hyperlink" Target="https://nyti.ms/2lGIyA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ed.com/talks/jason_b_rosenthal_the_journey_through_loss_and_grie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youtube.com/watch?v=X55TJRj9HUk" TargetMode="External"/><Relationship Id="rId4" Type="http://schemas.openxmlformats.org/officeDocument/2006/relationships/settings" Target="settings.xml"/><Relationship Id="rId9" Type="http://schemas.openxmlformats.org/officeDocument/2006/relationships/hyperlink" Target="https://www.youtube.com/watch?v=gsYL4PC0hy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Stanciulescu</dc:creator>
  <cp:lastModifiedBy>Karen Charnley</cp:lastModifiedBy>
  <cp:revision>4</cp:revision>
  <dcterms:created xsi:type="dcterms:W3CDTF">2020-02-18T13:53:00Z</dcterms:created>
  <dcterms:modified xsi:type="dcterms:W3CDTF">2020-02-19T14:05:00Z</dcterms:modified>
</cp:coreProperties>
</file>