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7E2F0" w14:textId="499671EF" w:rsidR="00621744" w:rsidRPr="00676303" w:rsidRDefault="00621744" w:rsidP="00621744">
      <w:pPr>
        <w:spacing w:after="0" w:line="20" w:lineRule="atLeast"/>
        <w:rPr>
          <w:rFonts w:asciiTheme="minorHAnsi" w:hAnsiTheme="minorHAnsi"/>
          <w:sz w:val="20"/>
          <w:szCs w:val="20"/>
          <w:lang w:val="en-US"/>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8007"/>
      </w:tblGrid>
      <w:tr w:rsidR="00621744" w:rsidRPr="00676303" w14:paraId="223EB355" w14:textId="77777777" w:rsidTr="00901163">
        <w:trPr>
          <w:trHeight w:val="389"/>
        </w:trPr>
        <w:tc>
          <w:tcPr>
            <w:tcW w:w="10201" w:type="dxa"/>
            <w:gridSpan w:val="2"/>
            <w:shd w:val="clear" w:color="auto" w:fill="D9E2F3" w:themeFill="accent1" w:themeFillTint="33"/>
          </w:tcPr>
          <w:p w14:paraId="3529DE37" w14:textId="77777777" w:rsidR="00621744" w:rsidRPr="00676303" w:rsidRDefault="00621744" w:rsidP="00901163">
            <w:pPr>
              <w:spacing w:after="0" w:line="20" w:lineRule="atLeast"/>
              <w:jc w:val="center"/>
              <w:rPr>
                <w:rFonts w:asciiTheme="minorHAnsi" w:hAnsiTheme="minorHAnsi" w:cs="Calibri"/>
                <w:b/>
                <w:i/>
                <w:sz w:val="20"/>
                <w:szCs w:val="20"/>
                <w:lang w:val="en-US"/>
              </w:rPr>
            </w:pPr>
            <w:r w:rsidRPr="00676303">
              <w:rPr>
                <w:rFonts w:asciiTheme="minorHAnsi" w:hAnsiTheme="minorHAnsi" w:cs="Calibri"/>
                <w:b/>
                <w:i/>
                <w:sz w:val="20"/>
                <w:szCs w:val="20"/>
                <w:lang w:val="en-US"/>
              </w:rPr>
              <w:t xml:space="preserve">Lesson Plan </w:t>
            </w:r>
          </w:p>
        </w:tc>
      </w:tr>
      <w:tr w:rsidR="00621744" w:rsidRPr="00676303" w14:paraId="040D2452" w14:textId="77777777" w:rsidTr="00901163">
        <w:trPr>
          <w:trHeight w:val="389"/>
        </w:trPr>
        <w:tc>
          <w:tcPr>
            <w:tcW w:w="2194" w:type="dxa"/>
            <w:shd w:val="clear" w:color="auto" w:fill="D9E2F3" w:themeFill="accent1" w:themeFillTint="33"/>
          </w:tcPr>
          <w:p w14:paraId="5A728511" w14:textId="77777777" w:rsidR="00621744" w:rsidRPr="00676303" w:rsidRDefault="00621744" w:rsidP="0090116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Teaching Unit</w:t>
            </w:r>
          </w:p>
        </w:tc>
        <w:tc>
          <w:tcPr>
            <w:tcW w:w="8007" w:type="dxa"/>
            <w:shd w:val="clear" w:color="auto" w:fill="auto"/>
          </w:tcPr>
          <w:p w14:paraId="7667B810" w14:textId="77777777" w:rsidR="00621744" w:rsidRPr="00676303" w:rsidRDefault="00621744" w:rsidP="0090116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Teamwork and Self-Reflection</w:t>
            </w:r>
          </w:p>
        </w:tc>
      </w:tr>
      <w:tr w:rsidR="00621744" w:rsidRPr="00676303" w14:paraId="24EF1C22" w14:textId="77777777" w:rsidTr="00901163">
        <w:trPr>
          <w:trHeight w:val="389"/>
        </w:trPr>
        <w:tc>
          <w:tcPr>
            <w:tcW w:w="2194" w:type="dxa"/>
            <w:shd w:val="clear" w:color="auto" w:fill="D9E2F3" w:themeFill="accent1" w:themeFillTint="33"/>
          </w:tcPr>
          <w:p w14:paraId="0736FD7D" w14:textId="77777777" w:rsidR="00621744" w:rsidRPr="00676303" w:rsidRDefault="00621744" w:rsidP="0090116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8007" w:type="dxa"/>
            <w:shd w:val="clear" w:color="auto" w:fill="auto"/>
          </w:tcPr>
          <w:p w14:paraId="63A75184" w14:textId="77777777" w:rsidR="00621744" w:rsidRPr="00676303" w:rsidRDefault="00621744" w:rsidP="0090116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Limits and Goals of Medicine</w:t>
            </w:r>
          </w:p>
        </w:tc>
      </w:tr>
      <w:tr w:rsidR="00621744" w:rsidRPr="00676303" w14:paraId="52C7E1A8" w14:textId="77777777" w:rsidTr="00E06D1B">
        <w:trPr>
          <w:trHeight w:val="638"/>
        </w:trPr>
        <w:tc>
          <w:tcPr>
            <w:tcW w:w="2194" w:type="dxa"/>
            <w:shd w:val="clear" w:color="auto" w:fill="D9E2F3" w:themeFill="accent1" w:themeFillTint="33"/>
          </w:tcPr>
          <w:p w14:paraId="0416FC67" w14:textId="52D8C6CD" w:rsidR="00621744" w:rsidRPr="00676303" w:rsidRDefault="00621744" w:rsidP="0090116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Outcome</w:t>
            </w:r>
          </w:p>
        </w:tc>
        <w:tc>
          <w:tcPr>
            <w:tcW w:w="8007" w:type="dxa"/>
            <w:shd w:val="clear" w:color="auto" w:fill="auto"/>
          </w:tcPr>
          <w:p w14:paraId="00DDA9CE" w14:textId="77777777" w:rsidR="00621744" w:rsidRPr="00676303" w:rsidRDefault="00621744" w:rsidP="00901163">
            <w:pPr>
              <w:spacing w:after="0" w:line="20" w:lineRule="atLeast"/>
              <w:rPr>
                <w:rFonts w:asciiTheme="minorHAnsi" w:hAnsiTheme="minorHAnsi" w:cstheme="minorHAnsi"/>
                <w:sz w:val="20"/>
                <w:szCs w:val="20"/>
                <w:lang w:val="en-US"/>
              </w:rPr>
            </w:pPr>
            <w:r w:rsidRPr="00676303">
              <w:rPr>
                <w:rFonts w:asciiTheme="minorHAnsi" w:eastAsia="Times New Roman" w:hAnsiTheme="minorHAnsi" w:cstheme="minorHAnsi"/>
                <w:bCs/>
                <w:color w:val="000000"/>
                <w:sz w:val="20"/>
                <w:szCs w:val="20"/>
                <w:lang w:val="en-US" w:eastAsia="en-GB"/>
              </w:rPr>
              <w:t>At the end of this teaching session the students will accept the shifts of goals of care during the end-of-life illness trajectory.</w:t>
            </w:r>
          </w:p>
        </w:tc>
      </w:tr>
      <w:tr w:rsidR="00621744" w:rsidRPr="00676303" w14:paraId="0CCCD1C8" w14:textId="77777777" w:rsidTr="00901163">
        <w:trPr>
          <w:trHeight w:val="1401"/>
        </w:trPr>
        <w:tc>
          <w:tcPr>
            <w:tcW w:w="2194" w:type="dxa"/>
            <w:shd w:val="clear" w:color="auto" w:fill="D9E2F3" w:themeFill="accent1" w:themeFillTint="33"/>
          </w:tcPr>
          <w:p w14:paraId="5928CF1C" w14:textId="77777777" w:rsidR="00621744" w:rsidRPr="00676303" w:rsidRDefault="00621744" w:rsidP="0090116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8007" w:type="dxa"/>
            <w:shd w:val="clear" w:color="auto" w:fill="auto"/>
          </w:tcPr>
          <w:p w14:paraId="0D9E4BC1" w14:textId="77777777" w:rsidR="00621744" w:rsidRPr="00676303" w:rsidRDefault="00621744" w:rsidP="00901163">
            <w:pPr>
              <w:spacing w:after="0" w:line="20" w:lineRule="atLeast"/>
              <w:jc w:val="both"/>
              <w:rPr>
                <w:rFonts w:asciiTheme="minorHAnsi" w:hAnsiTheme="minorHAnsi" w:cs="Calibri"/>
                <w:sz w:val="20"/>
                <w:szCs w:val="20"/>
                <w:lang w:val="en-US"/>
              </w:rPr>
            </w:pPr>
            <w:r w:rsidRPr="00676303">
              <w:rPr>
                <w:rFonts w:asciiTheme="minorHAnsi" w:hAnsiTheme="minorHAnsi" w:cs="Calibri"/>
                <w:sz w:val="20"/>
                <w:szCs w:val="20"/>
                <w:lang w:val="en-US"/>
              </w:rPr>
              <w:t>Modern Medicine is focus in the curative process. This approach normally leads to lose the balance between iatrogenic and benefits of medical procedures in advanced illness patients. Understand the illness trajectory as a patient personal process, will teach medical students to focus more properly in patients wishes and necessities, leading a more rational use of health resources, in order to provide benefits to their patients, realizing patient personal wishes and necessities.</w:t>
            </w:r>
          </w:p>
        </w:tc>
      </w:tr>
      <w:tr w:rsidR="00621744" w:rsidRPr="00676303" w14:paraId="0260264E" w14:textId="77777777" w:rsidTr="00E06D1B">
        <w:trPr>
          <w:trHeight w:val="2087"/>
        </w:trPr>
        <w:tc>
          <w:tcPr>
            <w:tcW w:w="2194" w:type="dxa"/>
            <w:shd w:val="clear" w:color="auto" w:fill="D9E2F3" w:themeFill="accent1" w:themeFillTint="33"/>
          </w:tcPr>
          <w:p w14:paraId="28988EA5" w14:textId="77777777" w:rsidR="00621744" w:rsidRPr="00676303" w:rsidRDefault="00621744" w:rsidP="0090116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7FA51120" w14:textId="77777777" w:rsidR="00621744" w:rsidRPr="00676303" w:rsidRDefault="00621744" w:rsidP="00901163">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 xml:space="preserve">C- Cognition  </w:t>
            </w:r>
          </w:p>
          <w:p w14:paraId="7A8EF9E0" w14:textId="77777777" w:rsidR="00621744" w:rsidRPr="00676303" w:rsidRDefault="00621744" w:rsidP="00901163">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S – Skills</w:t>
            </w:r>
          </w:p>
          <w:p w14:paraId="5A14ECF3" w14:textId="77777777" w:rsidR="00621744" w:rsidRPr="00676303" w:rsidRDefault="00621744" w:rsidP="00901163">
            <w:pPr>
              <w:spacing w:after="0" w:line="20" w:lineRule="atLeast"/>
              <w:rPr>
                <w:rFonts w:asciiTheme="minorHAnsi" w:hAnsiTheme="minorHAnsi" w:cstheme="minorHAnsi"/>
                <w:b/>
                <w:sz w:val="20"/>
                <w:szCs w:val="20"/>
                <w:lang w:val="en-US"/>
              </w:rPr>
            </w:pPr>
            <w:r w:rsidRPr="00676303">
              <w:rPr>
                <w:rFonts w:asciiTheme="minorHAnsi" w:hAnsiTheme="minorHAnsi" w:cstheme="minorHAnsi"/>
                <w:b/>
                <w:sz w:val="20"/>
                <w:szCs w:val="20"/>
                <w:lang w:val="en-US"/>
              </w:rPr>
              <w:t>A – Attitudes</w:t>
            </w:r>
          </w:p>
          <w:p w14:paraId="6FD319BD" w14:textId="77777777" w:rsidR="00621744" w:rsidRPr="00676303" w:rsidRDefault="00621744" w:rsidP="00901163">
            <w:pPr>
              <w:spacing w:after="0" w:line="20" w:lineRule="atLeast"/>
              <w:rPr>
                <w:rFonts w:asciiTheme="minorHAnsi" w:hAnsiTheme="minorHAnsi" w:cs="Calibri"/>
                <w:b/>
                <w:sz w:val="20"/>
                <w:szCs w:val="20"/>
                <w:lang w:val="en-US"/>
              </w:rPr>
            </w:pPr>
          </w:p>
        </w:tc>
        <w:tc>
          <w:tcPr>
            <w:tcW w:w="8007" w:type="dxa"/>
            <w:shd w:val="clear" w:color="auto" w:fill="auto"/>
          </w:tcPr>
          <w:p w14:paraId="108F6458" w14:textId="77777777" w:rsidR="00621744" w:rsidRPr="00676303" w:rsidRDefault="00621744" w:rsidP="00901163">
            <w:p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Cognition</w:t>
            </w:r>
          </w:p>
          <w:p w14:paraId="68094108" w14:textId="77777777" w:rsidR="00621744" w:rsidRPr="00676303" w:rsidRDefault="00621744" w:rsidP="00621744">
            <w:pPr>
              <w:pStyle w:val="ListParagraph"/>
              <w:numPr>
                <w:ilvl w:val="0"/>
                <w:numId w:val="1"/>
              </w:num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The students will understand death as a part of life and it is not a taboo</w:t>
            </w:r>
          </w:p>
          <w:p w14:paraId="4610D188" w14:textId="77777777" w:rsidR="00621744" w:rsidRPr="00676303" w:rsidRDefault="00621744" w:rsidP="00621744">
            <w:pPr>
              <w:pStyle w:val="ListParagraph"/>
              <w:numPr>
                <w:ilvl w:val="0"/>
                <w:numId w:val="1"/>
              </w:num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The students will understand the changes in our professional role when we cannot cure</w:t>
            </w:r>
          </w:p>
          <w:p w14:paraId="0E433164" w14:textId="77777777" w:rsidR="00621744" w:rsidRPr="00676303" w:rsidRDefault="00621744" w:rsidP="00901163">
            <w:p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Skills</w:t>
            </w:r>
          </w:p>
          <w:p w14:paraId="42CA7AC8" w14:textId="77777777" w:rsidR="00621744" w:rsidRPr="00676303" w:rsidRDefault="00621744" w:rsidP="00621744">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eastAsia="Times New Roman" w:hAnsiTheme="minorHAnsi" w:cstheme="minorHAnsi"/>
                <w:color w:val="000000"/>
                <w:sz w:val="20"/>
                <w:szCs w:val="20"/>
                <w:lang w:val="en-US" w:eastAsia="en-GB"/>
              </w:rPr>
              <w:t>The student will understand end-of-life goals of care</w:t>
            </w:r>
          </w:p>
          <w:p w14:paraId="6CD51FFF" w14:textId="77777777" w:rsidR="00621744" w:rsidRPr="00676303" w:rsidRDefault="00621744" w:rsidP="00901163">
            <w:p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Attitudes</w:t>
            </w:r>
          </w:p>
          <w:p w14:paraId="47397591" w14:textId="77777777" w:rsidR="00621744" w:rsidRPr="00676303" w:rsidRDefault="00621744" w:rsidP="00621744">
            <w:pPr>
              <w:pStyle w:val="ListParagraph"/>
              <w:numPr>
                <w:ilvl w:val="0"/>
                <w:numId w:val="1"/>
              </w:num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The students will understand that when we cannot cure there is still a lot to do</w:t>
            </w:r>
          </w:p>
        </w:tc>
      </w:tr>
      <w:tr w:rsidR="00621744" w:rsidRPr="00676303" w14:paraId="416F0B9A" w14:textId="77777777" w:rsidTr="00901163">
        <w:trPr>
          <w:trHeight w:val="389"/>
        </w:trPr>
        <w:tc>
          <w:tcPr>
            <w:tcW w:w="2194" w:type="dxa"/>
            <w:shd w:val="clear" w:color="auto" w:fill="D9E2F3" w:themeFill="accent1" w:themeFillTint="33"/>
          </w:tcPr>
          <w:p w14:paraId="3DAA1DA8" w14:textId="77777777" w:rsidR="00621744" w:rsidRPr="00676303" w:rsidRDefault="00621744" w:rsidP="0090116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8007" w:type="dxa"/>
            <w:shd w:val="clear" w:color="auto" w:fill="auto"/>
          </w:tcPr>
          <w:p w14:paraId="42408D07" w14:textId="77777777" w:rsidR="00621744" w:rsidRPr="00676303" w:rsidRDefault="00621744" w:rsidP="00901163">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Open discussion</w:t>
            </w:r>
          </w:p>
        </w:tc>
      </w:tr>
      <w:tr w:rsidR="00621744" w:rsidRPr="00676303" w14:paraId="5CAED163" w14:textId="77777777" w:rsidTr="00901163">
        <w:trPr>
          <w:trHeight w:val="3077"/>
        </w:trPr>
        <w:tc>
          <w:tcPr>
            <w:tcW w:w="2194" w:type="dxa"/>
            <w:shd w:val="clear" w:color="auto" w:fill="D9E2F3" w:themeFill="accent1" w:themeFillTint="33"/>
          </w:tcPr>
          <w:p w14:paraId="5C1CE66A" w14:textId="77777777" w:rsidR="00621744" w:rsidRPr="00676303" w:rsidRDefault="00621744" w:rsidP="0090116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8007" w:type="dxa"/>
            <w:shd w:val="clear" w:color="auto" w:fill="auto"/>
          </w:tcPr>
          <w:p w14:paraId="5BC057AF" w14:textId="77777777" w:rsidR="00621744" w:rsidRPr="00676303" w:rsidRDefault="00621744" w:rsidP="00B148E6">
            <w:pPr>
              <w:spacing w:after="0" w:line="240" w:lineRule="auto"/>
              <w:rPr>
                <w:rFonts w:asciiTheme="minorHAnsi" w:hAnsiTheme="minorHAnsi" w:cs="Calibri"/>
                <w:sz w:val="20"/>
                <w:szCs w:val="20"/>
                <w:lang w:val="en-US"/>
              </w:rPr>
            </w:pPr>
            <w:r w:rsidRPr="00676303">
              <w:rPr>
                <w:rFonts w:asciiTheme="minorHAnsi" w:hAnsiTheme="minorHAnsi" w:cs="Calibri"/>
                <w:sz w:val="20"/>
                <w:szCs w:val="20"/>
                <w:lang w:val="en-US"/>
              </w:rPr>
              <w:t>Total time teaching unit: 1h</w:t>
            </w:r>
          </w:p>
          <w:p w14:paraId="7CF0B2FB" w14:textId="77777777" w:rsidR="00621744" w:rsidRPr="00676303" w:rsidRDefault="00621744" w:rsidP="00B148E6">
            <w:pPr>
              <w:spacing w:after="0" w:line="240" w:lineRule="auto"/>
              <w:ind w:left="360"/>
              <w:rPr>
                <w:rFonts w:asciiTheme="minorHAnsi" w:hAnsiTheme="minorHAnsi" w:cs="Calibri"/>
                <w:sz w:val="20"/>
                <w:szCs w:val="20"/>
                <w:lang w:val="en-US"/>
              </w:rPr>
            </w:pPr>
            <w:r w:rsidRPr="00676303">
              <w:rPr>
                <w:rFonts w:asciiTheme="minorHAnsi" w:hAnsiTheme="minorHAnsi" w:cs="Calibri"/>
                <w:sz w:val="20"/>
                <w:szCs w:val="20"/>
                <w:lang w:val="en-US"/>
              </w:rPr>
              <w:t>Lead a group discussion addressing the topic after a patient video recorded explanation of her/his illness experience:</w:t>
            </w:r>
          </w:p>
          <w:p w14:paraId="0DA0DA28" w14:textId="4821DC83" w:rsidR="00B148E6" w:rsidRDefault="00621744" w:rsidP="00B44136">
            <w:pPr>
              <w:pStyle w:val="ListParagraph"/>
              <w:numPr>
                <w:ilvl w:val="0"/>
                <w:numId w:val="7"/>
              </w:numPr>
              <w:spacing w:after="0" w:line="240" w:lineRule="auto"/>
              <w:rPr>
                <w:rFonts w:asciiTheme="minorHAnsi" w:hAnsiTheme="minorHAnsi" w:cs="Calibri"/>
                <w:sz w:val="20"/>
                <w:szCs w:val="20"/>
                <w:lang w:val="en-US"/>
              </w:rPr>
            </w:pPr>
            <w:r w:rsidRPr="00B148E6">
              <w:rPr>
                <w:rFonts w:asciiTheme="minorHAnsi" w:hAnsiTheme="minorHAnsi" w:cs="Calibri"/>
                <w:sz w:val="20"/>
                <w:szCs w:val="20"/>
                <w:lang w:val="en-US"/>
              </w:rPr>
              <w:t>20/30 minutes video</w:t>
            </w:r>
          </w:p>
          <w:p w14:paraId="2EF82341" w14:textId="77777777" w:rsidR="00E06D1B" w:rsidRPr="00E06D1B" w:rsidRDefault="00E06D1B" w:rsidP="00E06D1B">
            <w:pPr>
              <w:spacing w:after="0" w:line="240" w:lineRule="auto"/>
              <w:rPr>
                <w:sz w:val="20"/>
                <w:szCs w:val="20"/>
              </w:rPr>
            </w:pPr>
            <w:r w:rsidRPr="00E06D1B">
              <w:rPr>
                <w:sz w:val="20"/>
                <w:szCs w:val="20"/>
              </w:rPr>
              <w:t>Video: WIT Emma Thompson 2001 part 9 (a metaphysic experience of death)</w:t>
            </w:r>
          </w:p>
          <w:p w14:paraId="56155884" w14:textId="006D2FBC" w:rsidR="00E06D1B" w:rsidRPr="00E06D1B" w:rsidRDefault="003A3273" w:rsidP="00E06D1B">
            <w:pPr>
              <w:spacing w:after="0" w:line="240" w:lineRule="auto"/>
              <w:rPr>
                <w:rFonts w:asciiTheme="minorHAnsi" w:hAnsiTheme="minorHAnsi" w:cs="Calibri"/>
                <w:sz w:val="20"/>
                <w:szCs w:val="20"/>
                <w:lang w:val="en-US"/>
              </w:rPr>
            </w:pPr>
            <w:hyperlink r:id="rId7" w:history="1">
              <w:r w:rsidR="00E06D1B" w:rsidRPr="00E06D1B">
                <w:rPr>
                  <w:rStyle w:val="Hyperlink"/>
                  <w:sz w:val="20"/>
                  <w:szCs w:val="20"/>
                </w:rPr>
                <w:t>https://www.youtube.com/watch?v=eucAdWW-4HM</w:t>
              </w:r>
            </w:hyperlink>
          </w:p>
          <w:p w14:paraId="08D75699" w14:textId="33D9C49B" w:rsidR="00E06D1B" w:rsidRPr="003A3273" w:rsidRDefault="00621744" w:rsidP="00B148E6">
            <w:pPr>
              <w:pStyle w:val="ListParagraph"/>
              <w:numPr>
                <w:ilvl w:val="0"/>
                <w:numId w:val="7"/>
              </w:numPr>
              <w:spacing w:after="0" w:line="240" w:lineRule="auto"/>
              <w:rPr>
                <w:rFonts w:asciiTheme="minorHAnsi" w:hAnsiTheme="minorHAnsi" w:cs="Calibri"/>
                <w:sz w:val="20"/>
                <w:szCs w:val="20"/>
                <w:lang w:val="en-US"/>
              </w:rPr>
            </w:pPr>
            <w:r w:rsidRPr="00676303">
              <w:rPr>
                <w:rFonts w:asciiTheme="minorHAnsi" w:hAnsiTheme="minorHAnsi" w:cs="Calibri"/>
                <w:sz w:val="20"/>
                <w:szCs w:val="20"/>
                <w:lang w:val="en-US"/>
              </w:rPr>
              <w:t>30 minutes discussion, professor should lead discussion with personal background on the topic.</w:t>
            </w:r>
            <w:bookmarkStart w:id="0" w:name="_GoBack"/>
            <w:bookmarkEnd w:id="0"/>
          </w:p>
          <w:p w14:paraId="51B36FE9" w14:textId="666697B8" w:rsidR="00621744" w:rsidRPr="00676303" w:rsidRDefault="00621744" w:rsidP="00B148E6">
            <w:pPr>
              <w:spacing w:after="0" w:line="240" w:lineRule="auto"/>
              <w:rPr>
                <w:rFonts w:asciiTheme="minorHAnsi" w:hAnsiTheme="minorHAnsi" w:cs="Calibri"/>
                <w:sz w:val="20"/>
                <w:szCs w:val="20"/>
                <w:lang w:val="en-US"/>
              </w:rPr>
            </w:pPr>
            <w:r w:rsidRPr="00676303">
              <w:rPr>
                <w:rFonts w:asciiTheme="minorHAnsi" w:hAnsiTheme="minorHAnsi" w:cs="Calibri"/>
                <w:sz w:val="20"/>
                <w:szCs w:val="20"/>
                <w:lang w:val="en-US"/>
              </w:rPr>
              <w:t>If video not possible discuss about student’s reflection over a reading:</w:t>
            </w:r>
          </w:p>
          <w:p w14:paraId="6BD914A2" w14:textId="0102CDD9" w:rsidR="00621744" w:rsidRDefault="00621744" w:rsidP="00B44136">
            <w:pPr>
              <w:pStyle w:val="ListParagraph"/>
              <w:numPr>
                <w:ilvl w:val="0"/>
                <w:numId w:val="7"/>
              </w:numPr>
              <w:spacing w:after="0" w:line="240" w:lineRule="auto"/>
              <w:rPr>
                <w:rFonts w:asciiTheme="minorHAnsi" w:hAnsiTheme="minorHAnsi" w:cs="Calibri"/>
                <w:sz w:val="20"/>
                <w:szCs w:val="20"/>
                <w:lang w:val="en-US"/>
              </w:rPr>
            </w:pPr>
            <w:r w:rsidRPr="00676303">
              <w:rPr>
                <w:rFonts w:asciiTheme="minorHAnsi" w:hAnsiTheme="minorHAnsi" w:cs="Calibri"/>
                <w:sz w:val="20"/>
                <w:szCs w:val="20"/>
                <w:lang w:val="en-US"/>
              </w:rPr>
              <w:t>Home reading reflection</w:t>
            </w:r>
            <w:r w:rsidR="009823AE">
              <w:rPr>
                <w:rFonts w:asciiTheme="minorHAnsi" w:hAnsiTheme="minorHAnsi" w:cs="Calibri"/>
                <w:sz w:val="20"/>
                <w:szCs w:val="20"/>
                <w:lang w:val="en-US"/>
              </w:rPr>
              <w:t xml:space="preserve">: </w:t>
            </w:r>
            <w:r w:rsidR="00B148E6">
              <w:rPr>
                <w:rFonts w:asciiTheme="minorHAnsi" w:hAnsiTheme="minorHAnsi" w:cs="Calibri"/>
                <w:sz w:val="20"/>
                <w:szCs w:val="20"/>
                <w:lang w:val="en-US"/>
              </w:rPr>
              <w:t>Cicely Sounders “Watch with me”</w:t>
            </w:r>
            <w:r w:rsidR="009823AE">
              <w:rPr>
                <w:rFonts w:asciiTheme="minorHAnsi" w:hAnsiTheme="minorHAnsi" w:cs="Calibri"/>
                <w:sz w:val="20"/>
                <w:szCs w:val="20"/>
                <w:lang w:val="en-US"/>
              </w:rPr>
              <w:t xml:space="preserve"> </w:t>
            </w:r>
          </w:p>
          <w:p w14:paraId="0AEF92AE" w14:textId="1F54C383" w:rsidR="009823AE" w:rsidRDefault="003A3273" w:rsidP="009823AE">
            <w:pPr>
              <w:spacing w:after="0" w:line="240" w:lineRule="auto"/>
              <w:rPr>
                <w:rFonts w:asciiTheme="minorHAnsi" w:hAnsiTheme="minorHAnsi" w:cs="Calibri"/>
                <w:sz w:val="20"/>
                <w:szCs w:val="20"/>
                <w:lang w:val="en-US"/>
              </w:rPr>
            </w:pPr>
            <w:hyperlink r:id="rId8" w:history="1">
              <w:r w:rsidR="009823AE" w:rsidRPr="00B16E57">
                <w:rPr>
                  <w:rStyle w:val="Hyperlink"/>
                  <w:rFonts w:asciiTheme="minorHAnsi" w:hAnsiTheme="minorHAnsi" w:cs="Calibri"/>
                  <w:sz w:val="20"/>
                  <w:szCs w:val="20"/>
                  <w:lang w:val="en-US"/>
                </w:rPr>
                <w:t>http://endoflifestudies.academicblogs.co.uk/wp-content/uploads/sites/22/2014/04/Watch-with-Me-full-text-2005.pdf</w:t>
              </w:r>
            </w:hyperlink>
            <w:r w:rsidR="009823AE">
              <w:rPr>
                <w:rFonts w:asciiTheme="minorHAnsi" w:hAnsiTheme="minorHAnsi" w:cs="Calibri"/>
                <w:sz w:val="20"/>
                <w:szCs w:val="20"/>
                <w:lang w:val="en-US"/>
              </w:rPr>
              <w:t xml:space="preserve"> </w:t>
            </w:r>
            <w:r w:rsidR="00EA73CD">
              <w:rPr>
                <w:rFonts w:asciiTheme="minorHAnsi" w:hAnsiTheme="minorHAnsi" w:cs="Calibri"/>
                <w:sz w:val="20"/>
                <w:szCs w:val="20"/>
                <w:lang w:val="en-US"/>
              </w:rPr>
              <w:t>or</w:t>
            </w:r>
          </w:p>
          <w:p w14:paraId="11DD3895" w14:textId="60E781C0" w:rsidR="00EA73CD" w:rsidRPr="009823AE" w:rsidRDefault="00EA73CD" w:rsidP="009823AE">
            <w:pPr>
              <w:spacing w:after="0" w:line="240" w:lineRule="auto"/>
              <w:rPr>
                <w:rFonts w:asciiTheme="minorHAnsi" w:hAnsiTheme="minorHAnsi" w:cs="Calibri"/>
                <w:sz w:val="20"/>
                <w:szCs w:val="20"/>
                <w:lang w:val="en-US"/>
              </w:rPr>
            </w:pPr>
            <w:r>
              <w:rPr>
                <w:rFonts w:asciiTheme="minorHAnsi" w:hAnsiTheme="minorHAnsi" w:cs="Calibri"/>
                <w:sz w:val="20"/>
                <w:szCs w:val="20"/>
                <w:lang w:val="en-US"/>
              </w:rPr>
              <w:t>Eric Emanuel Smith “Oscar and the pink lady”</w:t>
            </w:r>
            <w:r w:rsidR="00E06D1B">
              <w:rPr>
                <w:rFonts w:asciiTheme="minorHAnsi" w:hAnsiTheme="minorHAnsi" w:cs="Calibri"/>
                <w:sz w:val="20"/>
                <w:szCs w:val="20"/>
                <w:lang w:val="en-US"/>
              </w:rPr>
              <w:t xml:space="preserve"> or</w:t>
            </w:r>
          </w:p>
          <w:p w14:paraId="70DBBBEC" w14:textId="0E4A949C" w:rsidR="00B148E6" w:rsidRPr="00EA73CD" w:rsidRDefault="009823AE" w:rsidP="00EA73CD">
            <w:pPr>
              <w:spacing w:after="0" w:line="240" w:lineRule="auto"/>
              <w:rPr>
                <w:rFonts w:asciiTheme="minorHAnsi" w:hAnsiTheme="minorHAnsi" w:cs="Calibri"/>
                <w:sz w:val="20"/>
                <w:szCs w:val="20"/>
                <w:lang w:val="en-US"/>
              </w:rPr>
            </w:pPr>
            <w:r w:rsidRPr="00EA73CD">
              <w:rPr>
                <w:rFonts w:asciiTheme="minorHAnsi" w:hAnsiTheme="minorHAnsi" w:cs="Calibri"/>
                <w:sz w:val="20"/>
                <w:szCs w:val="20"/>
                <w:lang w:val="en-US"/>
              </w:rPr>
              <w:t>Henry Marsh “Do not harm: stories of life, death and brain surgery”</w:t>
            </w:r>
            <w:r w:rsidR="00EA73CD" w:rsidRPr="00EA73CD">
              <w:rPr>
                <w:rFonts w:asciiTheme="minorHAnsi" w:hAnsiTheme="minorHAnsi" w:cs="Calibri"/>
                <w:sz w:val="20"/>
                <w:szCs w:val="20"/>
                <w:lang w:val="en-US"/>
              </w:rPr>
              <w:t xml:space="preserve"> or</w:t>
            </w:r>
          </w:p>
          <w:p w14:paraId="2E2692A4" w14:textId="022B19B6" w:rsidR="00B44136" w:rsidRPr="00B44136" w:rsidRDefault="00B44136" w:rsidP="00B44136">
            <w:pPr>
              <w:spacing w:after="0" w:line="240" w:lineRule="auto"/>
              <w:rPr>
                <w:rFonts w:asciiTheme="minorHAnsi" w:hAnsiTheme="minorHAnsi" w:cs="Calibri"/>
                <w:sz w:val="20"/>
                <w:szCs w:val="20"/>
                <w:lang w:val="en-US"/>
              </w:rPr>
            </w:pPr>
            <w:r w:rsidRPr="00EA73CD">
              <w:rPr>
                <w:rFonts w:asciiTheme="minorHAnsi" w:hAnsiTheme="minorHAnsi" w:cs="Calibri"/>
                <w:sz w:val="20"/>
                <w:szCs w:val="20"/>
                <w:lang w:val="en-US"/>
              </w:rPr>
              <w:t xml:space="preserve">Eugene O´Kelly </w:t>
            </w:r>
            <w:r w:rsidR="00EA73CD">
              <w:rPr>
                <w:rFonts w:asciiTheme="minorHAnsi" w:hAnsiTheme="minorHAnsi" w:cs="Calibri"/>
                <w:sz w:val="20"/>
                <w:szCs w:val="20"/>
                <w:lang w:val="en-US"/>
              </w:rPr>
              <w:t>“</w:t>
            </w:r>
            <w:r w:rsidRPr="00EA73CD">
              <w:rPr>
                <w:rFonts w:asciiTheme="minorHAnsi" w:hAnsiTheme="minorHAnsi"/>
                <w:sz w:val="20"/>
                <w:szCs w:val="20"/>
                <w:lang w:val="en-US"/>
              </w:rPr>
              <w:t>Chasing daylight: How my forthcoming death transformed my life</w:t>
            </w:r>
            <w:r w:rsidR="00EA73CD">
              <w:rPr>
                <w:rFonts w:asciiTheme="minorHAnsi" w:hAnsiTheme="minorHAnsi"/>
                <w:sz w:val="20"/>
                <w:szCs w:val="20"/>
                <w:lang w:val="en-US"/>
              </w:rPr>
              <w:t>”</w:t>
            </w:r>
          </w:p>
          <w:p w14:paraId="01F986A3" w14:textId="77777777" w:rsidR="00621744" w:rsidRPr="00676303" w:rsidRDefault="00621744" w:rsidP="00B44136">
            <w:pPr>
              <w:pStyle w:val="ListParagraph"/>
              <w:numPr>
                <w:ilvl w:val="0"/>
                <w:numId w:val="7"/>
              </w:numPr>
              <w:spacing w:after="0" w:line="240" w:lineRule="auto"/>
              <w:rPr>
                <w:rFonts w:asciiTheme="minorHAnsi" w:hAnsiTheme="minorHAnsi" w:cs="Calibri"/>
                <w:sz w:val="20"/>
                <w:szCs w:val="20"/>
                <w:lang w:val="en-US"/>
              </w:rPr>
            </w:pPr>
            <w:r w:rsidRPr="00676303">
              <w:rPr>
                <w:rFonts w:asciiTheme="minorHAnsi" w:hAnsiTheme="minorHAnsi" w:cs="Calibri"/>
                <w:sz w:val="20"/>
                <w:szCs w:val="20"/>
                <w:lang w:val="en-US"/>
              </w:rPr>
              <w:t>45 minutes discussion, professor should lead discussion with personal background on the topic.</w:t>
            </w:r>
          </w:p>
        </w:tc>
      </w:tr>
      <w:tr w:rsidR="00621744" w:rsidRPr="00676303" w14:paraId="1B2EE1C0" w14:textId="77777777" w:rsidTr="00901163">
        <w:trPr>
          <w:trHeight w:val="1349"/>
        </w:trPr>
        <w:tc>
          <w:tcPr>
            <w:tcW w:w="2194" w:type="dxa"/>
            <w:shd w:val="clear" w:color="auto" w:fill="D9E2F3" w:themeFill="accent1" w:themeFillTint="33"/>
          </w:tcPr>
          <w:p w14:paraId="39A3A952" w14:textId="77777777" w:rsidR="00621744" w:rsidRPr="00676303" w:rsidRDefault="00621744" w:rsidP="00901163">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Bibliography/Resources </w:t>
            </w:r>
          </w:p>
        </w:tc>
        <w:tc>
          <w:tcPr>
            <w:tcW w:w="8007" w:type="dxa"/>
            <w:shd w:val="clear" w:color="auto" w:fill="auto"/>
          </w:tcPr>
          <w:p w14:paraId="56A37DEA" w14:textId="77777777" w:rsidR="00621744" w:rsidRPr="00676303" w:rsidRDefault="00621744" w:rsidP="00621744">
            <w:pPr>
              <w:pStyle w:val="ListParagraph"/>
              <w:numPr>
                <w:ilvl w:val="0"/>
                <w:numId w:val="4"/>
              </w:numPr>
              <w:spacing w:after="0" w:line="20" w:lineRule="atLeast"/>
              <w:ind w:left="360"/>
              <w:rPr>
                <w:rFonts w:asciiTheme="minorHAnsi" w:hAnsiTheme="minorHAnsi" w:cs="Calibri"/>
                <w:sz w:val="20"/>
                <w:szCs w:val="20"/>
                <w:lang w:val="en-US"/>
              </w:rPr>
            </w:pPr>
            <w:r w:rsidRPr="00676303">
              <w:rPr>
                <w:rFonts w:asciiTheme="minorHAnsi" w:hAnsiTheme="minorHAnsi" w:cs="Calibri"/>
                <w:sz w:val="20"/>
                <w:szCs w:val="20"/>
                <w:lang w:val="en-US"/>
              </w:rPr>
              <w:t xml:space="preserve">Cicely Saunders. Watch with me. A personal therapeutic journey. Page 31-39. </w:t>
            </w:r>
            <w:hyperlink r:id="rId9" w:history="1">
              <w:r w:rsidRPr="00676303">
                <w:rPr>
                  <w:rStyle w:val="Hyperlink"/>
                  <w:rFonts w:asciiTheme="minorHAnsi" w:hAnsiTheme="minorHAnsi" w:cs="Calibri"/>
                  <w:sz w:val="20"/>
                  <w:szCs w:val="20"/>
                  <w:lang w:val="en-US"/>
                </w:rPr>
                <w:t>http://endoflifestudies.academicblogs.co.uk/wp-content/uploads/sites/22/2014/04/Watch-with-Me-full-text-2005.pdf</w:t>
              </w:r>
            </w:hyperlink>
          </w:p>
          <w:p w14:paraId="59224CA7" w14:textId="77777777" w:rsidR="00621744" w:rsidRPr="00676303" w:rsidRDefault="00621744" w:rsidP="00621744">
            <w:pPr>
              <w:pStyle w:val="ListParagraph"/>
              <w:numPr>
                <w:ilvl w:val="0"/>
                <w:numId w:val="4"/>
              </w:numPr>
              <w:spacing w:after="0" w:line="20" w:lineRule="atLeast"/>
              <w:ind w:left="360"/>
              <w:rPr>
                <w:rFonts w:asciiTheme="minorHAnsi" w:hAnsiTheme="minorHAnsi" w:cs="Calibri"/>
                <w:sz w:val="20"/>
                <w:szCs w:val="20"/>
                <w:lang w:val="en-US"/>
              </w:rPr>
            </w:pPr>
            <w:r w:rsidRPr="00676303">
              <w:rPr>
                <w:rFonts w:asciiTheme="minorHAnsi" w:hAnsiTheme="minorHAnsi" w:cs="Calibri"/>
                <w:sz w:val="20"/>
                <w:szCs w:val="20"/>
                <w:lang w:val="en-US"/>
              </w:rPr>
              <w:t xml:space="preserve">Eugene O´Kelly. </w:t>
            </w:r>
            <w:r w:rsidRPr="00676303">
              <w:rPr>
                <w:rFonts w:asciiTheme="minorHAnsi" w:hAnsiTheme="minorHAnsi"/>
                <w:sz w:val="20"/>
                <w:szCs w:val="20"/>
                <w:lang w:val="en-US"/>
              </w:rPr>
              <w:t>Chasing daylight: How my forthcoming death transformed my life</w:t>
            </w:r>
          </w:p>
          <w:p w14:paraId="13E389EC" w14:textId="27B24ECB" w:rsidR="00621744" w:rsidRPr="00676303" w:rsidRDefault="00621744" w:rsidP="00621744">
            <w:pPr>
              <w:pStyle w:val="ListParagraph"/>
              <w:numPr>
                <w:ilvl w:val="0"/>
                <w:numId w:val="4"/>
              </w:numPr>
              <w:spacing w:after="0" w:line="20" w:lineRule="atLeast"/>
              <w:ind w:left="360"/>
              <w:rPr>
                <w:rFonts w:asciiTheme="minorHAnsi" w:hAnsiTheme="minorHAnsi" w:cs="Calibri"/>
                <w:sz w:val="20"/>
                <w:szCs w:val="20"/>
                <w:lang w:val="en-US"/>
              </w:rPr>
            </w:pPr>
            <w:r w:rsidRPr="00676303">
              <w:rPr>
                <w:rFonts w:asciiTheme="minorHAnsi" w:hAnsiTheme="minorHAnsi"/>
                <w:sz w:val="20"/>
                <w:szCs w:val="20"/>
                <w:lang w:val="en-US"/>
              </w:rPr>
              <w:t>Henry Marsh In English: Do No harm: Stories of Life, Death and Brain Surgery</w:t>
            </w:r>
          </w:p>
        </w:tc>
      </w:tr>
    </w:tbl>
    <w:p w14:paraId="7097535F" w14:textId="77777777" w:rsidR="00621744" w:rsidRPr="00676303" w:rsidRDefault="00621744" w:rsidP="00621744">
      <w:pPr>
        <w:spacing w:after="0" w:line="20" w:lineRule="atLeast"/>
        <w:rPr>
          <w:lang w:val="en-US"/>
        </w:rPr>
      </w:pPr>
    </w:p>
    <w:p w14:paraId="78664E6E" w14:textId="77777777" w:rsidR="00621744" w:rsidRPr="00676303" w:rsidRDefault="00621744" w:rsidP="00621744">
      <w:pPr>
        <w:spacing w:after="0" w:line="20" w:lineRule="atLeast"/>
        <w:rPr>
          <w:rFonts w:asciiTheme="minorHAnsi" w:eastAsia="Times New Roman" w:hAnsiTheme="minorHAnsi" w:cstheme="minorHAnsi"/>
          <w:bCs/>
          <w:color w:val="000000"/>
          <w:lang w:val="en-US" w:eastAsia="en-GB"/>
        </w:rPr>
      </w:pPr>
    </w:p>
    <w:p w14:paraId="41189826" w14:textId="77777777" w:rsidR="00894EDC" w:rsidRPr="00621744" w:rsidRDefault="00894EDC" w:rsidP="00621744"/>
    <w:sectPr w:rsidR="00894EDC" w:rsidRPr="00621744" w:rsidSect="006D0A8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5535B" w14:textId="77777777" w:rsidR="00DA6D91" w:rsidRDefault="00DA6D91">
      <w:pPr>
        <w:spacing w:after="0" w:line="240" w:lineRule="auto"/>
      </w:pPr>
      <w:r>
        <w:separator/>
      </w:r>
    </w:p>
  </w:endnote>
  <w:endnote w:type="continuationSeparator" w:id="0">
    <w:p w14:paraId="3BB5338E" w14:textId="77777777" w:rsidR="00DA6D91" w:rsidRDefault="00DA6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415007"/>
      <w:docPartObj>
        <w:docPartGallery w:val="Page Numbers (Bottom of Page)"/>
        <w:docPartUnique/>
      </w:docPartObj>
    </w:sdtPr>
    <w:sdtEndPr>
      <w:rPr>
        <w:noProof/>
      </w:rPr>
    </w:sdtEndPr>
    <w:sdtContent>
      <w:p w14:paraId="2F8E2566" w14:textId="77777777" w:rsidR="00676303" w:rsidRDefault="0062174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B3D9790" w14:textId="77777777" w:rsidR="00676303" w:rsidRDefault="003A3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26189" w14:textId="77777777" w:rsidR="00DA6D91" w:rsidRDefault="00DA6D91">
      <w:pPr>
        <w:spacing w:after="0" w:line="240" w:lineRule="auto"/>
      </w:pPr>
      <w:r>
        <w:separator/>
      </w:r>
    </w:p>
  </w:footnote>
  <w:footnote w:type="continuationSeparator" w:id="0">
    <w:p w14:paraId="5DD801FC" w14:textId="77777777" w:rsidR="00DA6D91" w:rsidRDefault="00DA6D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BD9F6" w14:textId="77777777" w:rsidR="00676303" w:rsidRDefault="00621744" w:rsidP="00390FB4">
    <w:pPr>
      <w:pStyle w:val="Header"/>
    </w:pPr>
    <w:r w:rsidRPr="00F667F5">
      <w:rPr>
        <w:noProof/>
      </w:rPr>
      <w:drawing>
        <wp:inline distT="0" distB="0" distL="0" distR="0" wp14:anchorId="7BB30164" wp14:editId="1D4940E2">
          <wp:extent cx="1549968" cy="613079"/>
          <wp:effectExtent l="0" t="0" r="0" b="0"/>
          <wp:docPr id="9" name="Picture 8">
            <a:extLst xmlns:a="http://schemas.openxmlformats.org/drawingml/2006/main">
              <a:ext uri="{FF2B5EF4-FFF2-40B4-BE49-F238E27FC236}">
                <a16:creationId xmlns:a16="http://schemas.microsoft.com/office/drawing/2014/main" id="{911D794E-DA2C-4BF4-93FD-8D1E7B74037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11D794E-DA2C-4BF4-93FD-8D1E7B74037A}"/>
                      </a:ext>
                    </a:extLst>
                  </pic:cNvPr>
                  <pic:cNvPicPr>
                    <a:picLocks noChangeAspect="1"/>
                  </pic:cNvPicPr>
                </pic:nvPicPr>
                <pic:blipFill>
                  <a:blip r:embed="rId1"/>
                  <a:stretch>
                    <a:fillRect/>
                  </a:stretch>
                </pic:blipFill>
                <pic:spPr>
                  <a:xfrm>
                    <a:off x="0" y="0"/>
                    <a:ext cx="1571096" cy="621436"/>
                  </a:xfrm>
                  <a:prstGeom prst="rect">
                    <a:avLst/>
                  </a:prstGeom>
                  <a:ln>
                    <a:noFill/>
                  </a:ln>
                  <a:effectLst>
                    <a:softEdge rad="112500"/>
                  </a:effectLst>
                </pic:spPr>
              </pic:pic>
            </a:graphicData>
          </a:graphic>
        </wp:inline>
      </w:drawing>
    </w:r>
    <w:r w:rsidRPr="00F667F5">
      <w:rPr>
        <w:noProof/>
      </w:rPr>
      <w:t xml:space="preserve"> </w:t>
    </w:r>
    <w:r>
      <w:rPr>
        <w:noProof/>
      </w:rPr>
      <w:tab/>
    </w:r>
    <w:r>
      <w:rPr>
        <w:noProof/>
      </w:rPr>
      <w:tab/>
    </w:r>
    <w:r w:rsidRPr="00F667F5">
      <w:rPr>
        <w:noProof/>
      </w:rPr>
      <w:drawing>
        <wp:inline distT="0" distB="0" distL="0" distR="0" wp14:anchorId="1E4AD2C7" wp14:editId="3784EA5E">
          <wp:extent cx="1842347" cy="526176"/>
          <wp:effectExtent l="0" t="0" r="5715" b="7620"/>
          <wp:docPr id="1027" name="Picture 3" descr="\\DATARO\Departamente\PR Programe\0 PROIECTE HOSPICE\1_IN DERULARE\Erasmus+2017\Implementare\Vizibilitate\EU flag-Erasmus+_vect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DATARO\Departamente\PR Programe\0 PROIECTE HOSPICE\1_IN DERULARE\Erasmus+2017\Implementare\Vizibilitate\EU flag-Erasmus+_vect_POS.jpg"/>
                  <pic:cNvPicPr>
                    <a:picLocks noChangeAspect="1" noChangeArrowheads="1"/>
                  </pic:cNvPicPr>
                </pic:nvPicPr>
                <pic:blipFill>
                  <a:blip r:embed="rId2" cstate="print"/>
                  <a:srcRect/>
                  <a:stretch>
                    <a:fillRect/>
                  </a:stretch>
                </pic:blipFill>
                <pic:spPr bwMode="auto">
                  <a:xfrm>
                    <a:off x="0" y="0"/>
                    <a:ext cx="1892013" cy="540361"/>
                  </a:xfrm>
                  <a:prstGeom prst="rect">
                    <a:avLst/>
                  </a:prstGeom>
                  <a:noFill/>
                </pic:spPr>
              </pic:pic>
            </a:graphicData>
          </a:graphic>
        </wp:inline>
      </w:drawing>
    </w:r>
  </w:p>
  <w:p w14:paraId="1845598F" w14:textId="77777777" w:rsidR="00676303" w:rsidRDefault="003A32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F3CE6"/>
    <w:multiLevelType w:val="hybridMultilevel"/>
    <w:tmpl w:val="3D04372C"/>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ECE0CE0"/>
    <w:multiLevelType w:val="hybridMultilevel"/>
    <w:tmpl w:val="D2BAB546"/>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FFC175A"/>
    <w:multiLevelType w:val="hybridMultilevel"/>
    <w:tmpl w:val="C9009764"/>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8867398"/>
    <w:multiLevelType w:val="hybridMultilevel"/>
    <w:tmpl w:val="43A8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0001E2"/>
    <w:multiLevelType w:val="hybridMultilevel"/>
    <w:tmpl w:val="C652D1DE"/>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3202AC"/>
    <w:multiLevelType w:val="hybridMultilevel"/>
    <w:tmpl w:val="3D32F158"/>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C113C6"/>
    <w:multiLevelType w:val="hybridMultilevel"/>
    <w:tmpl w:val="2396B662"/>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744"/>
    <w:rsid w:val="001B04FC"/>
    <w:rsid w:val="003A3273"/>
    <w:rsid w:val="00621744"/>
    <w:rsid w:val="0074658A"/>
    <w:rsid w:val="007F4AD3"/>
    <w:rsid w:val="00894EDC"/>
    <w:rsid w:val="008B6D06"/>
    <w:rsid w:val="009033B1"/>
    <w:rsid w:val="009823AE"/>
    <w:rsid w:val="00B148E6"/>
    <w:rsid w:val="00B44136"/>
    <w:rsid w:val="00DA6D91"/>
    <w:rsid w:val="00DD187A"/>
    <w:rsid w:val="00E06D1B"/>
    <w:rsid w:val="00EA73CD"/>
    <w:rsid w:val="00F6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B9EAD"/>
  <w15:chartTrackingRefBased/>
  <w15:docId w15:val="{6F5A9019-C981-4A8F-AEF2-74D49DCC2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744"/>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217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1744"/>
    <w:rPr>
      <w:rFonts w:ascii="Calibri" w:eastAsia="Calibri" w:hAnsi="Calibri" w:cs="Times New Roman"/>
      <w:lang w:val="en-GB"/>
    </w:rPr>
  </w:style>
  <w:style w:type="paragraph" w:styleId="ListParagraph">
    <w:name w:val="List Paragraph"/>
    <w:basedOn w:val="Normal"/>
    <w:uiPriority w:val="34"/>
    <w:qFormat/>
    <w:rsid w:val="00621744"/>
    <w:pPr>
      <w:spacing w:after="200" w:line="276" w:lineRule="auto"/>
      <w:ind w:left="720"/>
      <w:contextualSpacing/>
    </w:pPr>
    <w:rPr>
      <w:lang w:val="ro-RO"/>
    </w:rPr>
  </w:style>
  <w:style w:type="character" w:styleId="Hyperlink">
    <w:name w:val="Hyperlink"/>
    <w:basedOn w:val="DefaultParagraphFont"/>
    <w:uiPriority w:val="99"/>
    <w:unhideWhenUsed/>
    <w:rsid w:val="00621744"/>
    <w:rPr>
      <w:color w:val="0563C1" w:themeColor="hyperlink"/>
      <w:u w:val="single"/>
    </w:rPr>
  </w:style>
  <w:style w:type="paragraph" w:styleId="Header">
    <w:name w:val="header"/>
    <w:basedOn w:val="Normal"/>
    <w:link w:val="HeaderChar"/>
    <w:uiPriority w:val="99"/>
    <w:unhideWhenUsed/>
    <w:rsid w:val="006217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1744"/>
    <w:rPr>
      <w:rFonts w:ascii="Calibri" w:eastAsia="Calibri" w:hAnsi="Calibri" w:cs="Times New Roman"/>
      <w:lang w:val="en-GB"/>
    </w:rPr>
  </w:style>
  <w:style w:type="character" w:styleId="UnresolvedMention">
    <w:name w:val="Unresolved Mention"/>
    <w:basedOn w:val="DefaultParagraphFont"/>
    <w:uiPriority w:val="99"/>
    <w:semiHidden/>
    <w:unhideWhenUsed/>
    <w:rsid w:val="009823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doflifestudies.academicblogs.co.uk/wp-content/uploads/sites/22/2014/04/Watch-with-Me-full-text-2005.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eucAdWW-4H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ndoflifestudies.academicblogs.co.uk/wp-content/uploads/sites/22/2014/04/Watch-with-Me-full-text-2005.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Mitrea</dc:creator>
  <cp:keywords/>
  <dc:description/>
  <cp:lastModifiedBy>Liliana Stanciulescu</cp:lastModifiedBy>
  <cp:revision>9</cp:revision>
  <dcterms:created xsi:type="dcterms:W3CDTF">2019-06-26T07:41:00Z</dcterms:created>
  <dcterms:modified xsi:type="dcterms:W3CDTF">2020-01-27T11:55:00Z</dcterms:modified>
</cp:coreProperties>
</file>