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253408" w:rsidRPr="00676303" w14:paraId="454ED4D2" w14:textId="77777777" w:rsidTr="005B2359">
        <w:tc>
          <w:tcPr>
            <w:tcW w:w="9209" w:type="dxa"/>
            <w:gridSpan w:val="2"/>
            <w:shd w:val="clear" w:color="auto" w:fill="D9E2F3" w:themeFill="accent1" w:themeFillTint="33"/>
          </w:tcPr>
          <w:p w14:paraId="507F78EC" w14:textId="77777777" w:rsidR="00253408" w:rsidRPr="00676303" w:rsidRDefault="00253408" w:rsidP="005B2359">
            <w:pPr>
              <w:spacing w:after="0" w:line="20" w:lineRule="atLeast"/>
              <w:jc w:val="center"/>
              <w:rPr>
                <w:rFonts w:asciiTheme="minorHAnsi" w:hAnsiTheme="minorHAnsi" w:cstheme="minorHAnsi"/>
                <w:b/>
                <w:i/>
                <w:sz w:val="20"/>
                <w:szCs w:val="20"/>
                <w:lang w:val="en-US"/>
              </w:rPr>
            </w:pPr>
            <w:r w:rsidRPr="00676303">
              <w:rPr>
                <w:rFonts w:asciiTheme="minorHAnsi" w:hAnsiTheme="minorHAnsi" w:cstheme="minorHAnsi"/>
                <w:b/>
                <w:i/>
                <w:sz w:val="20"/>
                <w:szCs w:val="20"/>
                <w:lang w:val="en-US"/>
              </w:rPr>
              <w:t>Lesson Plan Model</w:t>
            </w:r>
          </w:p>
        </w:tc>
      </w:tr>
      <w:tr w:rsidR="00253408" w:rsidRPr="00676303" w14:paraId="23E90FBE" w14:textId="77777777" w:rsidTr="005B2359">
        <w:tc>
          <w:tcPr>
            <w:tcW w:w="1413" w:type="dxa"/>
            <w:shd w:val="clear" w:color="auto" w:fill="D9E2F3" w:themeFill="accent1" w:themeFillTint="33"/>
          </w:tcPr>
          <w:p w14:paraId="7C474305"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Teaching Unit</w:t>
            </w:r>
          </w:p>
        </w:tc>
        <w:tc>
          <w:tcPr>
            <w:tcW w:w="7796" w:type="dxa"/>
            <w:shd w:val="clear" w:color="auto" w:fill="auto"/>
          </w:tcPr>
          <w:p w14:paraId="54E302A3" w14:textId="77777777" w:rsidR="00253408" w:rsidRPr="00676303" w:rsidRDefault="00253408" w:rsidP="005B2359">
            <w:pPr>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hAnsiTheme="minorHAnsi" w:cstheme="minorHAnsi"/>
                <w:iCs/>
                <w:color w:val="000000"/>
                <w:sz w:val="20"/>
                <w:szCs w:val="20"/>
                <w:lang w:val="en-US"/>
              </w:rPr>
              <w:t>Symptom Management</w:t>
            </w:r>
            <w:r w:rsidRPr="00676303">
              <w:rPr>
                <w:rFonts w:asciiTheme="minorHAnsi" w:eastAsia="Times New Roman" w:hAnsiTheme="minorHAnsi" w:cstheme="minorHAnsi"/>
                <w:bCs/>
                <w:color w:val="000000"/>
                <w:sz w:val="20"/>
                <w:szCs w:val="20"/>
                <w:lang w:val="en-US" w:eastAsia="en-GB"/>
              </w:rPr>
              <w:t xml:space="preserve"> </w:t>
            </w:r>
          </w:p>
        </w:tc>
      </w:tr>
      <w:tr w:rsidR="00253408" w:rsidRPr="00676303" w14:paraId="1F84989E" w14:textId="77777777" w:rsidTr="005B2359">
        <w:tc>
          <w:tcPr>
            <w:tcW w:w="1413" w:type="dxa"/>
            <w:shd w:val="clear" w:color="auto" w:fill="D9E2F3" w:themeFill="accent1" w:themeFillTint="33"/>
          </w:tcPr>
          <w:p w14:paraId="3F0DAE69"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Title</w:t>
            </w:r>
          </w:p>
        </w:tc>
        <w:tc>
          <w:tcPr>
            <w:tcW w:w="7796" w:type="dxa"/>
            <w:shd w:val="clear" w:color="auto" w:fill="auto"/>
          </w:tcPr>
          <w:p w14:paraId="0AE8C971" w14:textId="3AFEC22C" w:rsidR="00E45CC0" w:rsidRPr="00E45CC0" w:rsidRDefault="00253408" w:rsidP="005B2359">
            <w:pPr>
              <w:spacing w:after="0" w:line="20" w:lineRule="atLeast"/>
              <w:rPr>
                <w:rFonts w:asciiTheme="minorHAnsi" w:eastAsia="Times New Roman" w:hAnsiTheme="minorHAnsi" w:cstheme="minorHAnsi"/>
                <w:b/>
                <w:bCs/>
                <w:color w:val="000000"/>
                <w:sz w:val="20"/>
                <w:szCs w:val="20"/>
                <w:lang w:val="en-US" w:eastAsia="en-GB"/>
              </w:rPr>
            </w:pPr>
            <w:r w:rsidRPr="00676303">
              <w:rPr>
                <w:rFonts w:asciiTheme="minorHAnsi" w:eastAsia="Times New Roman" w:hAnsiTheme="minorHAnsi" w:cstheme="minorHAnsi"/>
                <w:b/>
                <w:bCs/>
                <w:color w:val="000000"/>
                <w:sz w:val="20"/>
                <w:szCs w:val="20"/>
                <w:lang w:val="en-US" w:eastAsia="en-GB"/>
              </w:rPr>
              <w:t xml:space="preserve">Principles of Symptom Assessment and Management  </w:t>
            </w:r>
          </w:p>
        </w:tc>
      </w:tr>
      <w:tr w:rsidR="00253408" w:rsidRPr="00676303" w14:paraId="7060FA8E" w14:textId="77777777" w:rsidTr="005B2359">
        <w:tc>
          <w:tcPr>
            <w:tcW w:w="1413" w:type="dxa"/>
            <w:shd w:val="clear" w:color="auto" w:fill="D9E2F3" w:themeFill="accent1" w:themeFillTint="33"/>
          </w:tcPr>
          <w:p w14:paraId="3CDFB174"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Learning Outcome </w:t>
            </w:r>
          </w:p>
        </w:tc>
        <w:tc>
          <w:tcPr>
            <w:tcW w:w="7796" w:type="dxa"/>
            <w:shd w:val="clear" w:color="auto" w:fill="auto"/>
          </w:tcPr>
          <w:p w14:paraId="6E98A0E2" w14:textId="72913B6E" w:rsidR="00253408" w:rsidRPr="00205303" w:rsidRDefault="00253408" w:rsidP="005B2359">
            <w:pPr>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Understand the core principles, diagnostics and treatment of common symptoms in palliative care.</w:t>
            </w:r>
          </w:p>
        </w:tc>
      </w:tr>
      <w:tr w:rsidR="00253408" w:rsidRPr="00676303" w14:paraId="5A6AC2BF" w14:textId="77777777" w:rsidTr="005B2359">
        <w:tc>
          <w:tcPr>
            <w:tcW w:w="1413" w:type="dxa"/>
            <w:shd w:val="clear" w:color="auto" w:fill="D9E2F3" w:themeFill="accent1" w:themeFillTint="33"/>
          </w:tcPr>
          <w:p w14:paraId="53790E8C"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Summary </w:t>
            </w:r>
          </w:p>
        </w:tc>
        <w:tc>
          <w:tcPr>
            <w:tcW w:w="7796" w:type="dxa"/>
            <w:shd w:val="clear" w:color="auto" w:fill="auto"/>
          </w:tcPr>
          <w:p w14:paraId="662FFF87" w14:textId="77777777" w:rsidR="00253408" w:rsidRPr="00676303" w:rsidRDefault="00253408" w:rsidP="005B2359">
            <w:pPr>
              <w:spacing w:after="0" w:line="20" w:lineRule="atLeast"/>
              <w:contextualSpacing/>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As the diseases progresses the focus of care moves to ensure quality of life for patients and proper symptom management plays an important role. Students will learn about principles of symptom assessment and management </w:t>
            </w:r>
          </w:p>
        </w:tc>
      </w:tr>
      <w:tr w:rsidR="00253408" w:rsidRPr="00676303" w14:paraId="45B3D38B" w14:textId="77777777" w:rsidTr="005B2359">
        <w:tc>
          <w:tcPr>
            <w:tcW w:w="1413" w:type="dxa"/>
            <w:shd w:val="clear" w:color="auto" w:fill="D9E2F3" w:themeFill="accent1" w:themeFillTint="33"/>
          </w:tcPr>
          <w:p w14:paraId="4CBDF805"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Objectives</w:t>
            </w:r>
          </w:p>
          <w:p w14:paraId="2EE0C177" w14:textId="77777777" w:rsidR="00253408" w:rsidRPr="00676303" w:rsidRDefault="00253408"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7F6AD069" w14:textId="77777777" w:rsidR="00253408" w:rsidRPr="00676303" w:rsidRDefault="00253408"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3FCA58B6" w14:textId="77777777" w:rsidR="00253408" w:rsidRPr="00676303" w:rsidRDefault="00253408"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50BA0EAA" w14:textId="77777777" w:rsidR="00253408" w:rsidRPr="00676303" w:rsidRDefault="00253408" w:rsidP="005B2359">
            <w:pPr>
              <w:spacing w:after="0" w:line="20" w:lineRule="atLeast"/>
              <w:rPr>
                <w:rFonts w:asciiTheme="minorHAnsi" w:hAnsiTheme="minorHAnsi" w:cstheme="minorHAnsi"/>
                <w:b/>
                <w:sz w:val="20"/>
                <w:szCs w:val="20"/>
                <w:lang w:val="en-US"/>
              </w:rPr>
            </w:pPr>
          </w:p>
        </w:tc>
        <w:tc>
          <w:tcPr>
            <w:tcW w:w="7796" w:type="dxa"/>
            <w:shd w:val="clear" w:color="auto" w:fill="auto"/>
          </w:tcPr>
          <w:p w14:paraId="0CD173B7"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5A50F2CB" w14:textId="77777777" w:rsidR="00253408" w:rsidRPr="00676303" w:rsidRDefault="00253408" w:rsidP="005B2359">
            <w:pPr>
              <w:pStyle w:val="ListParagraph"/>
              <w:numPr>
                <w:ilvl w:val="0"/>
                <w:numId w:val="5"/>
              </w:numPr>
              <w:tabs>
                <w:tab w:val="left" w:pos="197"/>
              </w:tabs>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Discuss the principle of management of symptoms according to the stage of the disease and their impact on the patient and family</w:t>
            </w:r>
          </w:p>
          <w:p w14:paraId="6E7F423D" w14:textId="1062D34B" w:rsidR="00253408" w:rsidRPr="00676303" w:rsidRDefault="00253408" w:rsidP="005B2359">
            <w:pPr>
              <w:pStyle w:val="ListParagraph"/>
              <w:numPr>
                <w:ilvl w:val="0"/>
                <w:numId w:val="5"/>
              </w:numPr>
              <w:tabs>
                <w:tab w:val="left" w:pos="197"/>
              </w:tabs>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 xml:space="preserve">Appraise the similarities/differences in symptom management in Curative approach versus Palliative Care approach </w:t>
            </w:r>
          </w:p>
          <w:p w14:paraId="231D1EF7" w14:textId="77777777" w:rsidR="00253408" w:rsidRPr="00676303" w:rsidRDefault="00253408" w:rsidP="005B2359">
            <w:pPr>
              <w:pStyle w:val="ListParagraph"/>
              <w:numPr>
                <w:ilvl w:val="0"/>
                <w:numId w:val="5"/>
              </w:numPr>
              <w:tabs>
                <w:tab w:val="left" w:pos="197"/>
              </w:tabs>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Describe the principle of continuous and on-demand medication</w:t>
            </w:r>
          </w:p>
          <w:p w14:paraId="2F39A680" w14:textId="77777777" w:rsidR="00253408" w:rsidRPr="00676303" w:rsidRDefault="00253408" w:rsidP="005B2359">
            <w:pPr>
              <w:spacing w:after="0" w:line="20" w:lineRule="atLeast"/>
              <w:rPr>
                <w:rFonts w:asciiTheme="minorHAnsi" w:hAnsiTheme="minorHAnsi" w:cstheme="minorHAnsi"/>
                <w:iCs/>
                <w:color w:val="000000"/>
                <w:sz w:val="20"/>
                <w:szCs w:val="20"/>
                <w:lang w:val="en-US"/>
              </w:rPr>
            </w:pPr>
            <w:r w:rsidRPr="00676303">
              <w:rPr>
                <w:rFonts w:asciiTheme="minorHAnsi" w:hAnsiTheme="minorHAnsi" w:cstheme="minorHAnsi"/>
                <w:b/>
                <w:sz w:val="20"/>
                <w:szCs w:val="20"/>
                <w:lang w:val="en-US"/>
              </w:rPr>
              <w:t>S - Skills</w:t>
            </w:r>
            <w:r w:rsidRPr="00676303">
              <w:rPr>
                <w:rFonts w:asciiTheme="minorHAnsi" w:hAnsiTheme="minorHAnsi" w:cstheme="minorHAnsi"/>
                <w:iCs/>
                <w:color w:val="000000"/>
                <w:sz w:val="20"/>
                <w:szCs w:val="20"/>
                <w:lang w:val="en-US"/>
              </w:rPr>
              <w:t xml:space="preserve"> </w:t>
            </w:r>
          </w:p>
          <w:p w14:paraId="51B53BE3" w14:textId="42C2D0BF" w:rsidR="00253408" w:rsidRPr="00676303" w:rsidRDefault="00253408" w:rsidP="005B2359">
            <w:pPr>
              <w:pStyle w:val="ListParagraph"/>
              <w:numPr>
                <w:ilvl w:val="0"/>
                <w:numId w:val="4"/>
              </w:numPr>
              <w:spacing w:after="0" w:line="20" w:lineRule="atLeast"/>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Use a systematic approach</w:t>
            </w:r>
            <w:r>
              <w:rPr>
                <w:rFonts w:asciiTheme="minorHAnsi" w:eastAsia="Times New Roman" w:hAnsiTheme="minorHAnsi" w:cstheme="minorHAnsi"/>
                <w:bCs/>
                <w:color w:val="000000"/>
                <w:sz w:val="20"/>
                <w:szCs w:val="20"/>
                <w:lang w:val="en-US" w:eastAsia="en-GB"/>
              </w:rPr>
              <w:t xml:space="preserve"> </w:t>
            </w:r>
            <w:r w:rsidRPr="00676303">
              <w:rPr>
                <w:rFonts w:asciiTheme="minorHAnsi" w:eastAsia="Times New Roman" w:hAnsiTheme="minorHAnsi" w:cstheme="minorHAnsi"/>
                <w:bCs/>
                <w:color w:val="000000"/>
                <w:sz w:val="20"/>
                <w:szCs w:val="20"/>
                <w:lang w:val="en-US" w:eastAsia="en-GB"/>
              </w:rPr>
              <w:t>(e.g. the OPQRSTUV framework) to investigate symptoms when undertaking a holistic assessment.</w:t>
            </w:r>
          </w:p>
          <w:p w14:paraId="30C766EE"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6CC48EC7" w14:textId="77777777" w:rsidR="00253408" w:rsidRPr="00676303" w:rsidRDefault="00253408" w:rsidP="005B2359">
            <w:pPr>
              <w:pStyle w:val="ListParagraph"/>
              <w:numPr>
                <w:ilvl w:val="0"/>
                <w:numId w:val="6"/>
              </w:numPr>
              <w:tabs>
                <w:tab w:val="left" w:pos="207"/>
              </w:tabs>
              <w:spacing w:after="0" w:line="20" w:lineRule="atLeast"/>
              <w:ind w:left="1026"/>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 xml:space="preserve">Identify the importance of the individual goals and concerns regarding treatment </w:t>
            </w:r>
          </w:p>
          <w:p w14:paraId="4BA64BB9" w14:textId="77777777" w:rsidR="00253408" w:rsidRPr="00676303" w:rsidRDefault="00253408" w:rsidP="005B2359">
            <w:pPr>
              <w:pStyle w:val="ListParagraph"/>
              <w:numPr>
                <w:ilvl w:val="0"/>
                <w:numId w:val="6"/>
              </w:numPr>
              <w:tabs>
                <w:tab w:val="left" w:pos="207"/>
              </w:tabs>
              <w:spacing w:after="0" w:line="20" w:lineRule="atLeast"/>
              <w:ind w:left="1026"/>
              <w:rPr>
                <w:rFonts w:asciiTheme="minorHAnsi" w:eastAsia="Times New Roman" w:hAnsiTheme="minorHAnsi" w:cstheme="minorHAnsi"/>
                <w:bCs/>
                <w:color w:val="000000"/>
                <w:sz w:val="20"/>
                <w:szCs w:val="20"/>
                <w:lang w:val="en-US" w:eastAsia="en-GB"/>
              </w:rPr>
            </w:pPr>
            <w:r w:rsidRPr="00676303">
              <w:rPr>
                <w:rFonts w:asciiTheme="minorHAnsi" w:eastAsia="Times New Roman" w:hAnsiTheme="minorHAnsi" w:cstheme="minorHAnsi"/>
                <w:bCs/>
                <w:color w:val="000000"/>
                <w:sz w:val="20"/>
                <w:szCs w:val="20"/>
                <w:lang w:val="en-US" w:eastAsia="en-GB"/>
              </w:rPr>
              <w:t xml:space="preserve">Explain the value of the interdisciplinary approach to symptom assessment </w:t>
            </w:r>
          </w:p>
        </w:tc>
      </w:tr>
      <w:tr w:rsidR="00253408" w:rsidRPr="00676303" w14:paraId="729967EE" w14:textId="77777777" w:rsidTr="005B2359">
        <w:tc>
          <w:tcPr>
            <w:tcW w:w="1413" w:type="dxa"/>
            <w:shd w:val="clear" w:color="auto" w:fill="D9E2F3" w:themeFill="accent1" w:themeFillTint="33"/>
          </w:tcPr>
          <w:p w14:paraId="1EC76572"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Learning Methods</w:t>
            </w:r>
          </w:p>
        </w:tc>
        <w:tc>
          <w:tcPr>
            <w:tcW w:w="7796" w:type="dxa"/>
            <w:shd w:val="clear" w:color="auto" w:fill="auto"/>
          </w:tcPr>
          <w:p w14:paraId="628B9A1B" w14:textId="77777777" w:rsidR="00253408" w:rsidRPr="00676303" w:rsidRDefault="00253408" w:rsidP="005B2359">
            <w:pPr>
              <w:numPr>
                <w:ilvl w:val="0"/>
                <w:numId w:val="2"/>
              </w:num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xml:space="preserve">Icebreaker </w:t>
            </w:r>
          </w:p>
          <w:p w14:paraId="20A3F9E4" w14:textId="77777777" w:rsidR="00253408" w:rsidRPr="00676303" w:rsidRDefault="00253408" w:rsidP="005B2359">
            <w:pPr>
              <w:pStyle w:val="Default"/>
              <w:numPr>
                <w:ilvl w:val="0"/>
                <w:numId w:val="2"/>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Lecture</w:t>
            </w:r>
          </w:p>
          <w:p w14:paraId="4DB671E0" w14:textId="77777777" w:rsidR="00253408" w:rsidRPr="00676303" w:rsidRDefault="00253408" w:rsidP="005B2359">
            <w:pPr>
              <w:numPr>
                <w:ilvl w:val="0"/>
                <w:numId w:val="2"/>
              </w:num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xml:space="preserve">Individual exercises and flipchart list </w:t>
            </w:r>
          </w:p>
          <w:p w14:paraId="6B3B743E" w14:textId="77777777" w:rsidR="00253408" w:rsidRPr="00676303" w:rsidRDefault="00253408" w:rsidP="005B2359">
            <w:pPr>
              <w:pStyle w:val="Default"/>
              <w:numPr>
                <w:ilvl w:val="0"/>
                <w:numId w:val="2"/>
              </w:numPr>
              <w:spacing w:line="20" w:lineRule="atLeast"/>
              <w:rPr>
                <w:rFonts w:asciiTheme="minorHAnsi" w:hAnsiTheme="minorHAnsi" w:cstheme="minorHAnsi"/>
                <w:iCs/>
                <w:color w:val="auto"/>
                <w:sz w:val="20"/>
                <w:szCs w:val="20"/>
              </w:rPr>
            </w:pPr>
            <w:r w:rsidRPr="00676303">
              <w:rPr>
                <w:rFonts w:asciiTheme="minorHAnsi" w:hAnsiTheme="minorHAnsi" w:cstheme="minorHAnsi"/>
                <w:iCs/>
                <w:color w:val="auto"/>
                <w:sz w:val="20"/>
                <w:szCs w:val="20"/>
              </w:rPr>
              <w:t>Case study</w:t>
            </w:r>
          </w:p>
          <w:p w14:paraId="62E74E81" w14:textId="77777777" w:rsidR="00253408" w:rsidRPr="00676303" w:rsidRDefault="00253408" w:rsidP="005B2359">
            <w:pPr>
              <w:numPr>
                <w:ilvl w:val="0"/>
                <w:numId w:val="2"/>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Reflection on experience</w:t>
            </w:r>
            <w:r w:rsidRPr="00676303">
              <w:rPr>
                <w:rFonts w:asciiTheme="minorHAnsi" w:hAnsiTheme="minorHAnsi" w:cstheme="minorHAnsi"/>
                <w:iCs/>
                <w:sz w:val="20"/>
                <w:szCs w:val="20"/>
                <w:lang w:val="en-US"/>
              </w:rPr>
              <w:t xml:space="preserve"> </w:t>
            </w:r>
          </w:p>
          <w:p w14:paraId="5ECCD1CC" w14:textId="130644FC" w:rsidR="00253408" w:rsidRPr="00205303" w:rsidRDefault="00253408" w:rsidP="00205303">
            <w:pPr>
              <w:numPr>
                <w:ilvl w:val="0"/>
                <w:numId w:val="2"/>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 xml:space="preserve">Portfolio of learning  </w:t>
            </w:r>
          </w:p>
        </w:tc>
      </w:tr>
      <w:tr w:rsidR="00253408" w:rsidRPr="00676303" w14:paraId="5E6DE8BC" w14:textId="77777777" w:rsidTr="005B2359">
        <w:tc>
          <w:tcPr>
            <w:tcW w:w="1413" w:type="dxa"/>
            <w:shd w:val="clear" w:color="auto" w:fill="D9E2F3" w:themeFill="accent1" w:themeFillTint="33"/>
          </w:tcPr>
          <w:p w14:paraId="02351A17"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Timing </w:t>
            </w:r>
          </w:p>
        </w:tc>
        <w:tc>
          <w:tcPr>
            <w:tcW w:w="7796" w:type="dxa"/>
            <w:shd w:val="clear" w:color="auto" w:fill="auto"/>
          </w:tcPr>
          <w:p w14:paraId="4A3684F3" w14:textId="77777777" w:rsidR="00253408" w:rsidRPr="00676303" w:rsidRDefault="00253408" w:rsidP="005B2359">
            <w:pPr>
              <w:tabs>
                <w:tab w:val="left" w:pos="97"/>
              </w:tabs>
              <w:spacing w:after="0" w:line="20" w:lineRule="atLeast"/>
              <w:rPr>
                <w:rFonts w:asciiTheme="minorHAnsi" w:hAnsiTheme="minorHAnsi" w:cstheme="minorHAnsi"/>
                <w:b/>
                <w:iCs/>
                <w:sz w:val="20"/>
                <w:szCs w:val="20"/>
                <w:lang w:val="en-US"/>
              </w:rPr>
            </w:pPr>
            <w:r w:rsidRPr="00676303">
              <w:rPr>
                <w:rFonts w:asciiTheme="minorHAnsi" w:hAnsiTheme="minorHAnsi" w:cstheme="minorHAnsi"/>
                <w:b/>
                <w:iCs/>
                <w:sz w:val="20"/>
                <w:szCs w:val="20"/>
                <w:lang w:val="en-US"/>
              </w:rPr>
              <w:t>Class room teaching -   1hour</w:t>
            </w:r>
          </w:p>
          <w:p w14:paraId="289738A5" w14:textId="77777777" w:rsidR="00253408" w:rsidRPr="00676303" w:rsidRDefault="00253408" w:rsidP="005B2359">
            <w:pPr>
              <w:pStyle w:val="ListParagraph"/>
              <w:numPr>
                <w:ilvl w:val="0"/>
                <w:numId w:val="1"/>
              </w:numPr>
              <w:spacing w:after="0" w:line="20" w:lineRule="atLeast"/>
              <w:rPr>
                <w:rFonts w:asciiTheme="minorHAnsi" w:hAnsiTheme="minorHAnsi" w:cstheme="minorHAnsi"/>
                <w:b/>
                <w:sz w:val="20"/>
                <w:szCs w:val="20"/>
                <w:lang w:val="en-US"/>
              </w:rPr>
            </w:pPr>
            <w:r w:rsidRPr="00676303">
              <w:rPr>
                <w:rFonts w:asciiTheme="minorHAnsi" w:hAnsiTheme="minorHAnsi" w:cstheme="minorHAnsi"/>
                <w:sz w:val="20"/>
                <w:szCs w:val="20"/>
                <w:lang w:val="en-US"/>
              </w:rPr>
              <w:t>Icebreaker</w:t>
            </w:r>
            <w:r w:rsidRPr="00676303">
              <w:rPr>
                <w:rFonts w:asciiTheme="minorHAnsi" w:hAnsiTheme="minorHAnsi" w:cstheme="minorHAnsi"/>
                <w:b/>
                <w:sz w:val="20"/>
                <w:szCs w:val="20"/>
                <w:lang w:val="en-US"/>
              </w:rPr>
              <w:t xml:space="preserve"> - 2 min</w:t>
            </w:r>
          </w:p>
          <w:p w14:paraId="4C64DEAB" w14:textId="2A465B87" w:rsidR="00253408" w:rsidRPr="00676303" w:rsidRDefault="00253408" w:rsidP="005B2359">
            <w:pPr>
              <w:pStyle w:val="ListParagraph"/>
              <w:numPr>
                <w:ilvl w:val="0"/>
                <w:numId w:val="1"/>
              </w:numPr>
              <w:spacing w:after="0" w:line="20" w:lineRule="atLeast"/>
              <w:rPr>
                <w:rFonts w:asciiTheme="minorHAnsi" w:hAnsiTheme="minorHAnsi" w:cstheme="minorHAnsi"/>
                <w:b/>
                <w:sz w:val="20"/>
                <w:szCs w:val="20"/>
                <w:lang w:val="en-US"/>
              </w:rPr>
            </w:pPr>
            <w:r w:rsidRPr="00676303">
              <w:rPr>
                <w:rFonts w:asciiTheme="minorHAnsi" w:hAnsiTheme="minorHAnsi" w:cstheme="minorHAnsi"/>
                <w:iCs/>
                <w:sz w:val="20"/>
                <w:szCs w:val="20"/>
                <w:lang w:val="en-US"/>
              </w:rPr>
              <w:t>Lecture (</w:t>
            </w:r>
            <w:r w:rsidRPr="00676303">
              <w:rPr>
                <w:rFonts w:asciiTheme="minorHAnsi" w:hAnsiTheme="minorHAnsi" w:cstheme="minorHAnsi"/>
                <w:sz w:val="20"/>
                <w:szCs w:val="20"/>
                <w:lang w:val="en-US" w:eastAsia="en-GB"/>
              </w:rPr>
              <w:t>principle of management of symptoms according to the stage of the disease)</w:t>
            </w:r>
            <w:r w:rsidRPr="00676303">
              <w:rPr>
                <w:rFonts w:asciiTheme="minorHAnsi" w:eastAsia="Times New Roman" w:hAnsiTheme="minorHAnsi" w:cstheme="minorHAnsi"/>
                <w:bCs/>
                <w:color w:val="000000"/>
                <w:sz w:val="20"/>
                <w:szCs w:val="20"/>
                <w:lang w:val="en-US" w:eastAsia="en-GB"/>
              </w:rPr>
              <w:t xml:space="preserve"> including </w:t>
            </w:r>
            <w:r w:rsidRPr="00676303">
              <w:rPr>
                <w:rFonts w:asciiTheme="minorHAnsi" w:hAnsiTheme="minorHAnsi" w:cstheme="minorHAnsi"/>
                <w:sz w:val="20"/>
                <w:szCs w:val="20"/>
                <w:lang w:val="en-US" w:eastAsia="en-GB"/>
              </w:rPr>
              <w:t xml:space="preserve">similarities/differences in symptom management in Curative approach versus Palliative Care approach  </w:t>
            </w:r>
            <w:r w:rsidRPr="00676303">
              <w:rPr>
                <w:rFonts w:asciiTheme="minorHAnsi" w:hAnsiTheme="minorHAnsi" w:cstheme="minorHAnsi"/>
                <w:b/>
                <w:iCs/>
                <w:color w:val="000000"/>
                <w:sz w:val="20"/>
                <w:szCs w:val="20"/>
                <w:lang w:val="en-US"/>
              </w:rPr>
              <w:t>- 15 min</w:t>
            </w:r>
          </w:p>
          <w:p w14:paraId="54BF1FF6" w14:textId="5384110F" w:rsidR="00253408" w:rsidRPr="00676303" w:rsidRDefault="00253408" w:rsidP="005B2359">
            <w:pPr>
              <w:pStyle w:val="Bibliography"/>
              <w:numPr>
                <w:ilvl w:val="0"/>
                <w:numId w:val="1"/>
              </w:numPr>
              <w:tabs>
                <w:tab w:val="left" w:pos="384"/>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sz w:val="20"/>
                <w:szCs w:val="20"/>
                <w:lang w:val="en-US"/>
              </w:rPr>
              <w:t xml:space="preserve">Exercises: formative assessment plus e-voting </w:t>
            </w:r>
            <w:r w:rsidRPr="00676303">
              <w:rPr>
                <w:rFonts w:asciiTheme="minorHAnsi" w:eastAsia="Times New Roman" w:hAnsiTheme="minorHAnsi" w:cstheme="minorHAnsi"/>
                <w:bCs/>
                <w:color w:val="000000"/>
                <w:sz w:val="20"/>
                <w:szCs w:val="20"/>
                <w:lang w:val="en-US" w:eastAsia="en-GB"/>
              </w:rPr>
              <w:t>principle of management of symptoms according to the stage of the disease</w:t>
            </w:r>
            <w:r w:rsidRPr="00676303">
              <w:rPr>
                <w:rFonts w:asciiTheme="minorHAnsi" w:eastAsia="Times New Roman" w:hAnsiTheme="minorHAnsi" w:cstheme="minorHAnsi"/>
                <w:bCs/>
                <w:sz w:val="20"/>
                <w:szCs w:val="20"/>
                <w:lang w:val="en-US" w:eastAsia="en-GB"/>
              </w:rPr>
              <w:t>)</w:t>
            </w:r>
            <w:r w:rsidRPr="00676303">
              <w:rPr>
                <w:rFonts w:asciiTheme="minorHAnsi" w:hAnsiTheme="minorHAnsi" w:cstheme="minorHAnsi"/>
                <w:iCs/>
                <w:sz w:val="20"/>
                <w:szCs w:val="20"/>
                <w:lang w:val="en-US"/>
              </w:rPr>
              <w:t xml:space="preserve"> </w:t>
            </w:r>
            <w:r w:rsidRPr="00676303">
              <w:rPr>
                <w:rFonts w:asciiTheme="minorHAnsi" w:hAnsiTheme="minorHAnsi" w:cstheme="minorHAnsi"/>
                <w:b/>
                <w:iCs/>
                <w:sz w:val="20"/>
                <w:szCs w:val="20"/>
                <w:lang w:val="en-US"/>
              </w:rPr>
              <w:t>-  10 min</w:t>
            </w:r>
          </w:p>
          <w:p w14:paraId="4339F20A" w14:textId="34A99ACE" w:rsidR="00253408" w:rsidRPr="00676303" w:rsidRDefault="00253408" w:rsidP="005B2359">
            <w:pPr>
              <w:pStyle w:val="Default"/>
              <w:numPr>
                <w:ilvl w:val="0"/>
                <w:numId w:val="1"/>
              </w:numPr>
              <w:spacing w:line="20" w:lineRule="atLeast"/>
              <w:rPr>
                <w:rFonts w:asciiTheme="minorHAnsi" w:hAnsiTheme="minorHAnsi" w:cstheme="minorHAnsi"/>
                <w:iCs/>
                <w:color w:val="auto"/>
                <w:sz w:val="20"/>
                <w:szCs w:val="20"/>
              </w:rPr>
            </w:pPr>
            <w:r w:rsidRPr="00676303">
              <w:rPr>
                <w:rFonts w:asciiTheme="minorHAnsi" w:hAnsiTheme="minorHAnsi" w:cstheme="minorHAnsi"/>
                <w:iCs/>
                <w:sz w:val="20"/>
                <w:szCs w:val="20"/>
              </w:rPr>
              <w:t>Lecture (</w:t>
            </w:r>
            <w:r w:rsidRPr="00676303">
              <w:rPr>
                <w:rFonts w:asciiTheme="minorHAnsi" w:eastAsia="Times New Roman" w:hAnsiTheme="minorHAnsi" w:cstheme="minorHAnsi"/>
                <w:bCs/>
                <w:sz w:val="20"/>
                <w:szCs w:val="20"/>
                <w:lang w:eastAsia="en-GB"/>
              </w:rPr>
              <w:t xml:space="preserve">the interdisciplinary approach to symptom assessment; individual goals and concerns regarding treatment) </w:t>
            </w:r>
            <w:r w:rsidRPr="00676303">
              <w:rPr>
                <w:rFonts w:asciiTheme="minorHAnsi" w:hAnsiTheme="minorHAnsi" w:cstheme="minorHAnsi"/>
                <w:b/>
                <w:iCs/>
                <w:sz w:val="20"/>
                <w:szCs w:val="20"/>
              </w:rPr>
              <w:t>- 10 min</w:t>
            </w:r>
          </w:p>
          <w:p w14:paraId="21074306" w14:textId="77777777" w:rsidR="00253408" w:rsidRPr="00676303" w:rsidRDefault="00253408" w:rsidP="005B2359">
            <w:pPr>
              <w:numPr>
                <w:ilvl w:val="0"/>
                <w:numId w:val="1"/>
              </w:numPr>
              <w:autoSpaceDE w:val="0"/>
              <w:autoSpaceDN w:val="0"/>
              <w:adjustRightInd w:val="0"/>
              <w:spacing w:after="0" w:line="20" w:lineRule="atLeast"/>
              <w:rPr>
                <w:rFonts w:asciiTheme="minorHAnsi" w:hAnsiTheme="minorHAnsi" w:cstheme="minorHAnsi"/>
                <w:iCs/>
                <w:color w:val="000000"/>
                <w:sz w:val="20"/>
                <w:szCs w:val="20"/>
                <w:lang w:val="en-US"/>
              </w:rPr>
            </w:pPr>
            <w:r w:rsidRPr="00676303">
              <w:rPr>
                <w:rFonts w:asciiTheme="minorHAnsi" w:hAnsiTheme="minorHAnsi" w:cstheme="minorHAnsi"/>
                <w:iCs/>
                <w:color w:val="000000"/>
                <w:sz w:val="20"/>
                <w:szCs w:val="20"/>
                <w:lang w:val="en-US"/>
              </w:rPr>
              <w:t xml:space="preserve">Case studies discussed in plenary   </w:t>
            </w:r>
            <w:r w:rsidRPr="00676303">
              <w:rPr>
                <w:rFonts w:asciiTheme="minorHAnsi" w:hAnsiTheme="minorHAnsi" w:cstheme="minorHAnsi"/>
                <w:b/>
                <w:iCs/>
                <w:color w:val="000000"/>
                <w:sz w:val="20"/>
                <w:szCs w:val="20"/>
                <w:lang w:val="en-US"/>
              </w:rPr>
              <w:t>- 10 min</w:t>
            </w:r>
          </w:p>
          <w:p w14:paraId="3FF96089" w14:textId="42745507" w:rsidR="00253408" w:rsidRPr="00205303" w:rsidRDefault="00253408" w:rsidP="005B2359">
            <w:pPr>
              <w:pStyle w:val="ListParagraph"/>
              <w:numPr>
                <w:ilvl w:val="0"/>
                <w:numId w:val="1"/>
              </w:numPr>
              <w:tabs>
                <w:tab w:val="left" w:pos="97"/>
              </w:tabs>
              <w:spacing w:after="0" w:line="20" w:lineRule="atLeast"/>
              <w:rPr>
                <w:rFonts w:asciiTheme="minorHAnsi" w:hAnsiTheme="minorHAnsi" w:cstheme="minorHAnsi"/>
                <w:iCs/>
                <w:sz w:val="20"/>
                <w:szCs w:val="20"/>
                <w:lang w:val="en-US"/>
              </w:rPr>
            </w:pPr>
            <w:r w:rsidRPr="00676303">
              <w:rPr>
                <w:rFonts w:asciiTheme="minorHAnsi" w:hAnsiTheme="minorHAnsi" w:cstheme="minorHAnsi"/>
                <w:iCs/>
                <w:color w:val="000000"/>
                <w:sz w:val="20"/>
                <w:szCs w:val="20"/>
                <w:lang w:val="en-US"/>
              </w:rPr>
              <w:t xml:space="preserve">Conclusions, questions </w:t>
            </w:r>
            <w:r w:rsidRPr="00676303">
              <w:rPr>
                <w:rFonts w:asciiTheme="minorHAnsi" w:hAnsiTheme="minorHAnsi" w:cstheme="minorHAnsi"/>
                <w:b/>
                <w:iCs/>
                <w:color w:val="000000"/>
                <w:sz w:val="20"/>
                <w:szCs w:val="20"/>
                <w:lang w:val="en-US"/>
              </w:rPr>
              <w:t>- 3 min</w:t>
            </w:r>
            <w:bookmarkStart w:id="0" w:name="_GoBack"/>
            <w:bookmarkEnd w:id="0"/>
          </w:p>
          <w:p w14:paraId="5CF933BF" w14:textId="77777777" w:rsidR="00253408" w:rsidRPr="00676303" w:rsidRDefault="00253408" w:rsidP="005B2359">
            <w:pPr>
              <w:tabs>
                <w:tab w:val="left" w:pos="97"/>
              </w:tabs>
              <w:spacing w:after="0" w:line="20" w:lineRule="atLeast"/>
              <w:rPr>
                <w:rFonts w:asciiTheme="minorHAnsi" w:hAnsiTheme="minorHAnsi" w:cstheme="minorHAnsi"/>
                <w:sz w:val="20"/>
                <w:szCs w:val="20"/>
                <w:lang w:val="en-US"/>
              </w:rPr>
            </w:pPr>
            <w:r w:rsidRPr="00676303">
              <w:rPr>
                <w:rFonts w:asciiTheme="minorHAnsi" w:hAnsiTheme="minorHAnsi" w:cstheme="minorHAnsi"/>
                <w:b/>
                <w:sz w:val="20"/>
                <w:szCs w:val="20"/>
                <w:lang w:val="en-US"/>
              </w:rPr>
              <w:t>Seminar/</w:t>
            </w:r>
            <w:r w:rsidRPr="00676303">
              <w:rPr>
                <w:rFonts w:asciiTheme="minorHAnsi" w:eastAsia="Times New Roman" w:hAnsiTheme="minorHAnsi" w:cstheme="minorHAnsi"/>
                <w:bCs/>
                <w:color w:val="000000"/>
                <w:sz w:val="20"/>
                <w:szCs w:val="20"/>
                <w:lang w:val="en-US" w:eastAsia="en-GB"/>
              </w:rPr>
              <w:t>Experiential learning through bed side observation</w:t>
            </w:r>
            <w:r w:rsidRPr="00676303">
              <w:rPr>
                <w:rFonts w:asciiTheme="minorHAnsi" w:hAnsiTheme="minorHAnsi" w:cstheme="minorHAnsi"/>
                <w:iCs/>
                <w:sz w:val="20"/>
                <w:szCs w:val="20"/>
                <w:lang w:val="en-US"/>
              </w:rPr>
              <w:t xml:space="preserve"> - </w:t>
            </w:r>
            <w:r w:rsidRPr="00676303">
              <w:rPr>
                <w:rFonts w:asciiTheme="minorHAnsi" w:hAnsiTheme="minorHAnsi" w:cstheme="minorHAnsi"/>
                <w:b/>
                <w:sz w:val="20"/>
                <w:szCs w:val="20"/>
                <w:lang w:val="en-US"/>
              </w:rPr>
              <w:t>1hour</w:t>
            </w:r>
          </w:p>
          <w:p w14:paraId="5F430744" w14:textId="6832060F" w:rsidR="00253408" w:rsidRPr="00676303" w:rsidRDefault="00253408" w:rsidP="005B2359">
            <w:pPr>
              <w:pStyle w:val="Default"/>
              <w:numPr>
                <w:ilvl w:val="0"/>
                <w:numId w:val="1"/>
              </w:numPr>
              <w:spacing w:line="20" w:lineRule="atLeast"/>
              <w:rPr>
                <w:rFonts w:asciiTheme="minorHAnsi" w:hAnsiTheme="minorHAnsi" w:cstheme="minorHAnsi"/>
                <w:sz w:val="20"/>
                <w:szCs w:val="20"/>
              </w:rPr>
            </w:pPr>
            <w:r w:rsidRPr="00676303">
              <w:rPr>
                <w:rFonts w:asciiTheme="minorHAnsi" w:hAnsiTheme="minorHAnsi" w:cstheme="minorHAnsi"/>
                <w:sz w:val="20"/>
                <w:szCs w:val="20"/>
              </w:rPr>
              <w:t xml:space="preserve">Clinical discussion - Ward based bedside teaching: focus on taking a symptom history using </w:t>
            </w:r>
            <w:r w:rsidRPr="00676303">
              <w:rPr>
                <w:rFonts w:asciiTheme="minorHAnsi" w:eastAsia="Times New Roman" w:hAnsiTheme="minorHAnsi" w:cstheme="minorHAnsi"/>
                <w:bCs/>
                <w:sz w:val="20"/>
                <w:szCs w:val="20"/>
                <w:lang w:eastAsia="en-GB"/>
              </w:rPr>
              <w:t>OPQRSTUV</w:t>
            </w:r>
            <w:r w:rsidRPr="00676303">
              <w:rPr>
                <w:rFonts w:asciiTheme="minorHAnsi" w:hAnsiTheme="minorHAnsi" w:cstheme="minorHAnsi"/>
                <w:iCs/>
                <w:sz w:val="20"/>
                <w:szCs w:val="20"/>
              </w:rPr>
              <w:t xml:space="preserve"> assessment</w:t>
            </w:r>
            <w:r w:rsidRPr="00676303">
              <w:rPr>
                <w:rFonts w:asciiTheme="minorHAnsi" w:hAnsiTheme="minorHAnsi" w:cstheme="minorHAnsi"/>
                <w:sz w:val="20"/>
                <w:szCs w:val="20"/>
              </w:rPr>
              <w:t xml:space="preserve"> - </w:t>
            </w:r>
            <w:r w:rsidRPr="00676303">
              <w:rPr>
                <w:rFonts w:asciiTheme="minorHAnsi" w:hAnsiTheme="minorHAnsi" w:cstheme="minorHAnsi"/>
                <w:b/>
                <w:sz w:val="20"/>
                <w:szCs w:val="20"/>
              </w:rPr>
              <w:t>20 min</w:t>
            </w:r>
          </w:p>
          <w:p w14:paraId="297AB696" w14:textId="3D40C098" w:rsidR="00253408" w:rsidRPr="00676303" w:rsidRDefault="00253408" w:rsidP="005B2359">
            <w:pPr>
              <w:pStyle w:val="Default"/>
              <w:numPr>
                <w:ilvl w:val="0"/>
                <w:numId w:val="1"/>
              </w:numPr>
              <w:spacing w:line="20" w:lineRule="atLeast"/>
              <w:rPr>
                <w:rFonts w:asciiTheme="minorHAnsi" w:hAnsiTheme="minorHAnsi" w:cstheme="minorHAnsi"/>
                <w:sz w:val="20"/>
                <w:szCs w:val="20"/>
              </w:rPr>
            </w:pPr>
            <w:r w:rsidRPr="00676303">
              <w:rPr>
                <w:rFonts w:asciiTheme="minorHAnsi" w:hAnsiTheme="minorHAnsi" w:cstheme="minorHAnsi"/>
                <w:sz w:val="20"/>
                <w:szCs w:val="20"/>
              </w:rPr>
              <w:t xml:space="preserve">For assessed patient develop symptom management plan 10 min (in pairs) </w:t>
            </w:r>
            <w:r w:rsidRPr="00676303">
              <w:rPr>
                <w:rFonts w:asciiTheme="minorHAnsi" w:hAnsiTheme="minorHAnsi" w:cstheme="minorHAnsi"/>
                <w:iCs/>
                <w:sz w:val="20"/>
                <w:szCs w:val="20"/>
              </w:rPr>
              <w:t xml:space="preserve">applying </w:t>
            </w:r>
            <w:r w:rsidRPr="00676303">
              <w:rPr>
                <w:rFonts w:asciiTheme="minorHAnsi" w:eastAsia="Times New Roman" w:hAnsiTheme="minorHAnsi" w:cstheme="minorHAnsi"/>
                <w:bCs/>
                <w:sz w:val="20"/>
                <w:szCs w:val="20"/>
                <w:lang w:eastAsia="en-GB"/>
              </w:rPr>
              <w:t>principle of continuous and on-demand medication</w:t>
            </w:r>
            <w:r w:rsidRPr="00676303">
              <w:rPr>
                <w:rFonts w:asciiTheme="minorHAnsi" w:hAnsiTheme="minorHAnsi" w:cstheme="minorHAnsi"/>
                <w:iCs/>
                <w:color w:val="auto"/>
                <w:sz w:val="20"/>
                <w:szCs w:val="20"/>
              </w:rPr>
              <w:t xml:space="preserve">; whole group discussion   10 min    – </w:t>
            </w:r>
            <w:r w:rsidRPr="00676303">
              <w:rPr>
                <w:rFonts w:asciiTheme="minorHAnsi" w:hAnsiTheme="minorHAnsi" w:cstheme="minorHAnsi"/>
                <w:b/>
                <w:iCs/>
                <w:color w:val="auto"/>
                <w:sz w:val="20"/>
                <w:szCs w:val="20"/>
              </w:rPr>
              <w:t>20 min</w:t>
            </w:r>
          </w:p>
          <w:p w14:paraId="287CFFCB" w14:textId="794534E5" w:rsidR="00253408" w:rsidRPr="002F5799" w:rsidRDefault="00253408" w:rsidP="002F5799">
            <w:pPr>
              <w:numPr>
                <w:ilvl w:val="0"/>
                <w:numId w:val="1"/>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theme="minorHAnsi"/>
                <w:color w:val="000000"/>
                <w:sz w:val="20"/>
                <w:szCs w:val="20"/>
                <w:lang w:val="en-US"/>
              </w:rPr>
              <w:t xml:space="preserve">Reflection on experience: </w:t>
            </w:r>
            <w:r w:rsidRPr="00676303">
              <w:rPr>
                <w:rFonts w:asciiTheme="minorHAnsi" w:eastAsiaTheme="minorHAnsi" w:hAnsiTheme="minorHAnsi" w:cstheme="minorHAnsi"/>
                <w:iCs/>
                <w:color w:val="000000"/>
                <w:sz w:val="20"/>
                <w:szCs w:val="20"/>
                <w:lang w:val="en-US"/>
              </w:rPr>
              <w:t xml:space="preserve">Reflect on </w:t>
            </w:r>
            <w:r w:rsidRPr="00676303">
              <w:rPr>
                <w:rFonts w:asciiTheme="minorHAnsi" w:eastAsia="Times New Roman" w:hAnsiTheme="minorHAnsi" w:cstheme="minorHAnsi"/>
                <w:bCs/>
                <w:color w:val="000000"/>
                <w:sz w:val="20"/>
                <w:szCs w:val="20"/>
                <w:lang w:val="en-US" w:eastAsia="en-GB"/>
              </w:rPr>
              <w:t>the importance of the individual goals, concerns regarding treatment</w:t>
            </w:r>
            <w:r w:rsidRPr="00676303">
              <w:rPr>
                <w:rFonts w:asciiTheme="minorHAnsi" w:eastAsiaTheme="minorHAnsi" w:hAnsiTheme="minorHAnsi" w:cstheme="minorHAnsi"/>
                <w:iCs/>
                <w:color w:val="000000"/>
                <w:sz w:val="20"/>
                <w:szCs w:val="20"/>
                <w:lang w:val="en-US"/>
              </w:rPr>
              <w:t xml:space="preserve"> and </w:t>
            </w:r>
            <w:r w:rsidRPr="00676303">
              <w:rPr>
                <w:rFonts w:asciiTheme="minorHAnsi" w:eastAsia="Times New Roman" w:hAnsiTheme="minorHAnsi" w:cstheme="minorHAnsi"/>
                <w:bCs/>
                <w:color w:val="000000"/>
                <w:sz w:val="20"/>
                <w:szCs w:val="20"/>
                <w:lang w:val="en-US" w:eastAsia="en-GB"/>
              </w:rPr>
              <w:t>the value of the interdisciplinary approach to symptom assessment</w:t>
            </w:r>
            <w:r w:rsidRPr="00676303">
              <w:rPr>
                <w:rFonts w:asciiTheme="minorHAnsi" w:eastAsiaTheme="minorHAnsi" w:hAnsiTheme="minorHAnsi" w:cstheme="minorHAnsi"/>
                <w:iCs/>
                <w:color w:val="000000"/>
                <w:sz w:val="20"/>
                <w:szCs w:val="20"/>
                <w:lang w:val="en-US"/>
              </w:rPr>
              <w:t xml:space="preserve"> -</w:t>
            </w:r>
            <w:r w:rsidRPr="00676303">
              <w:rPr>
                <w:rFonts w:asciiTheme="minorHAnsi" w:eastAsiaTheme="minorHAnsi" w:hAnsiTheme="minorHAnsi" w:cstheme="minorHAnsi"/>
                <w:b/>
                <w:iCs/>
                <w:color w:val="000000"/>
                <w:sz w:val="20"/>
                <w:szCs w:val="20"/>
                <w:lang w:val="en-US"/>
              </w:rPr>
              <w:t xml:space="preserve"> 10 min</w:t>
            </w:r>
          </w:p>
        </w:tc>
      </w:tr>
      <w:tr w:rsidR="00253408" w:rsidRPr="00676303" w14:paraId="717845B3" w14:textId="77777777" w:rsidTr="005B2359">
        <w:tc>
          <w:tcPr>
            <w:tcW w:w="1413" w:type="dxa"/>
            <w:shd w:val="clear" w:color="auto" w:fill="D9E2F3" w:themeFill="accent1" w:themeFillTint="33"/>
          </w:tcPr>
          <w:p w14:paraId="398653E8" w14:textId="77777777" w:rsidR="00253408" w:rsidRPr="00676303" w:rsidRDefault="00253408"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Bibliography/Resources </w:t>
            </w:r>
          </w:p>
        </w:tc>
        <w:tc>
          <w:tcPr>
            <w:tcW w:w="7796" w:type="dxa"/>
            <w:shd w:val="clear" w:color="auto" w:fill="auto"/>
          </w:tcPr>
          <w:p w14:paraId="714DBC6D" w14:textId="77777777" w:rsidR="00253408" w:rsidRPr="00676303" w:rsidRDefault="00253408" w:rsidP="005B2359">
            <w:pPr>
              <w:pStyle w:val="ListParagraph"/>
              <w:numPr>
                <w:ilvl w:val="0"/>
                <w:numId w:val="3"/>
              </w:numPr>
              <w:autoSpaceDE w:val="0"/>
              <w:autoSpaceDN w:val="0"/>
              <w:adjustRightInd w:val="0"/>
              <w:spacing w:after="0" w:line="20" w:lineRule="atLeast"/>
              <w:rPr>
                <w:rFonts w:asciiTheme="minorHAnsi" w:hAnsiTheme="minorHAnsi" w:cstheme="minorHAnsi"/>
                <w:color w:val="000000"/>
                <w:sz w:val="20"/>
                <w:szCs w:val="20"/>
                <w:lang w:val="en-US"/>
              </w:rPr>
            </w:pPr>
            <w:proofErr w:type="spellStart"/>
            <w:r w:rsidRPr="00676303">
              <w:rPr>
                <w:rFonts w:asciiTheme="minorHAnsi" w:hAnsiTheme="minorHAnsi" w:cstheme="minorHAnsi"/>
                <w:color w:val="222222"/>
                <w:sz w:val="20"/>
                <w:szCs w:val="20"/>
                <w:lang w:val="en-US"/>
              </w:rPr>
              <w:t>Cherny</w:t>
            </w:r>
            <w:proofErr w:type="spellEnd"/>
            <w:r w:rsidRPr="00676303">
              <w:rPr>
                <w:rFonts w:asciiTheme="minorHAnsi" w:hAnsiTheme="minorHAnsi" w:cstheme="minorHAnsi"/>
                <w:color w:val="222222"/>
                <w:sz w:val="20"/>
                <w:szCs w:val="20"/>
                <w:lang w:val="en-US"/>
              </w:rPr>
              <w:t xml:space="preserve">, Nathan I., and Nicholas A. Christakis. </w:t>
            </w:r>
            <w:r w:rsidRPr="00676303">
              <w:rPr>
                <w:rFonts w:asciiTheme="minorHAnsi" w:hAnsiTheme="minorHAnsi" w:cstheme="minorHAnsi"/>
                <w:i/>
                <w:iCs/>
                <w:color w:val="222222"/>
                <w:sz w:val="20"/>
                <w:szCs w:val="20"/>
                <w:lang w:val="en-US"/>
              </w:rPr>
              <w:t>Oxford textbook of palliative medicine</w:t>
            </w:r>
            <w:r w:rsidRPr="00676303">
              <w:rPr>
                <w:rFonts w:asciiTheme="minorHAnsi" w:hAnsiTheme="minorHAnsi" w:cstheme="minorHAnsi"/>
                <w:color w:val="222222"/>
                <w:sz w:val="20"/>
                <w:szCs w:val="20"/>
                <w:lang w:val="en-US"/>
              </w:rPr>
              <w:t>. Oxford university press, 2011.</w:t>
            </w:r>
          </w:p>
          <w:p w14:paraId="4E4296EF" w14:textId="77777777" w:rsidR="00253408" w:rsidRPr="00676303" w:rsidRDefault="00253408" w:rsidP="005B2359">
            <w:pPr>
              <w:pStyle w:val="ListParagraph"/>
              <w:numPr>
                <w:ilvl w:val="0"/>
                <w:numId w:val="3"/>
              </w:numPr>
              <w:autoSpaceDE w:val="0"/>
              <w:autoSpaceDN w:val="0"/>
              <w:adjustRightInd w:val="0"/>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Larkin PJ, </w:t>
            </w:r>
            <w:proofErr w:type="spellStart"/>
            <w:r w:rsidRPr="00676303">
              <w:rPr>
                <w:rFonts w:asciiTheme="minorHAnsi" w:hAnsiTheme="minorHAnsi" w:cstheme="minorHAnsi"/>
                <w:sz w:val="20"/>
                <w:szCs w:val="20"/>
                <w:lang w:val="en-US"/>
              </w:rPr>
              <w:t>Dierckx</w:t>
            </w:r>
            <w:proofErr w:type="spellEnd"/>
            <w:r w:rsidRPr="00676303">
              <w:rPr>
                <w:rFonts w:asciiTheme="minorHAnsi" w:hAnsiTheme="minorHAnsi" w:cstheme="minorHAnsi"/>
                <w:sz w:val="20"/>
                <w:szCs w:val="20"/>
                <w:lang w:val="en-US"/>
              </w:rPr>
              <w:t xml:space="preserve"> de </w:t>
            </w:r>
            <w:proofErr w:type="spellStart"/>
            <w:r w:rsidRPr="00676303">
              <w:rPr>
                <w:rFonts w:asciiTheme="minorHAnsi" w:hAnsiTheme="minorHAnsi" w:cstheme="minorHAnsi"/>
                <w:sz w:val="20"/>
                <w:szCs w:val="20"/>
                <w:lang w:val="en-US"/>
              </w:rPr>
              <w:t>Casterle</w:t>
            </w:r>
            <w:proofErr w:type="spellEnd"/>
            <w:r w:rsidRPr="00676303">
              <w:rPr>
                <w:rFonts w:asciiTheme="minorHAnsi" w:hAnsiTheme="minorHAnsi" w:cstheme="minorHAnsi"/>
                <w:sz w:val="20"/>
                <w:szCs w:val="20"/>
                <w:lang w:val="en-US"/>
              </w:rPr>
              <w:t xml:space="preserve">´ B, </w:t>
            </w:r>
            <w:proofErr w:type="spellStart"/>
            <w:r w:rsidRPr="00676303">
              <w:rPr>
                <w:rFonts w:asciiTheme="minorHAnsi" w:hAnsiTheme="minorHAnsi" w:cstheme="minorHAnsi"/>
                <w:sz w:val="20"/>
                <w:szCs w:val="20"/>
                <w:lang w:val="en-US"/>
              </w:rPr>
              <w:t>Schotsmans</w:t>
            </w:r>
            <w:proofErr w:type="spellEnd"/>
            <w:r w:rsidRPr="00676303">
              <w:rPr>
                <w:rFonts w:asciiTheme="minorHAnsi" w:hAnsiTheme="minorHAnsi" w:cstheme="minorHAnsi"/>
                <w:sz w:val="20"/>
                <w:szCs w:val="20"/>
                <w:lang w:val="en-US"/>
              </w:rPr>
              <w:t xml:space="preserve"> P. Transition towards end of life in palliative care: an exploration of its meaning for advanced cancer patients in Europe. J </w:t>
            </w:r>
            <w:proofErr w:type="spellStart"/>
            <w:r w:rsidRPr="00676303">
              <w:rPr>
                <w:rFonts w:asciiTheme="minorHAnsi" w:hAnsiTheme="minorHAnsi" w:cstheme="minorHAnsi"/>
                <w:sz w:val="20"/>
                <w:szCs w:val="20"/>
                <w:lang w:val="en-US"/>
              </w:rPr>
              <w:t>Palliat</w:t>
            </w:r>
            <w:proofErr w:type="spellEnd"/>
            <w:r w:rsidRPr="00676303">
              <w:rPr>
                <w:rFonts w:asciiTheme="minorHAnsi" w:hAnsiTheme="minorHAnsi" w:cstheme="minorHAnsi"/>
                <w:sz w:val="20"/>
                <w:szCs w:val="20"/>
                <w:lang w:val="en-US"/>
              </w:rPr>
              <w:t xml:space="preserve"> Care 2007</w:t>
            </w:r>
            <w:proofErr w:type="gramStart"/>
            <w:r w:rsidRPr="00676303">
              <w:rPr>
                <w:rFonts w:asciiTheme="minorHAnsi" w:hAnsiTheme="minorHAnsi" w:cstheme="minorHAnsi"/>
                <w:sz w:val="20"/>
                <w:szCs w:val="20"/>
                <w:lang w:val="en-US"/>
              </w:rPr>
              <w:t>;23:69</w:t>
            </w:r>
            <w:proofErr w:type="gramEnd"/>
            <w:r w:rsidRPr="00676303">
              <w:rPr>
                <w:rFonts w:asciiTheme="minorHAnsi" w:hAnsiTheme="minorHAnsi" w:cstheme="minorHAnsi"/>
                <w:sz w:val="20"/>
                <w:szCs w:val="20"/>
                <w:lang w:val="en-US"/>
              </w:rPr>
              <w:t>–79.</w:t>
            </w:r>
          </w:p>
          <w:p w14:paraId="6BA53A0B" w14:textId="77777777" w:rsidR="00253408" w:rsidRPr="00676303" w:rsidRDefault="00253408" w:rsidP="005B2359">
            <w:pPr>
              <w:pStyle w:val="ListParagraph"/>
              <w:numPr>
                <w:ilvl w:val="0"/>
                <w:numId w:val="3"/>
              </w:numPr>
              <w:autoSpaceDE w:val="0"/>
              <w:autoSpaceDN w:val="0"/>
              <w:adjustRightInd w:val="0"/>
              <w:spacing w:after="0" w:line="20" w:lineRule="atLeast"/>
              <w:rPr>
                <w:rFonts w:asciiTheme="minorHAnsi" w:eastAsiaTheme="minorHAnsi" w:hAnsiTheme="minorHAnsi" w:cstheme="minorHAnsi"/>
                <w:color w:val="2197D2"/>
                <w:sz w:val="20"/>
                <w:szCs w:val="20"/>
                <w:lang w:val="en-US"/>
              </w:rPr>
            </w:pPr>
            <w:r w:rsidRPr="00676303">
              <w:rPr>
                <w:rFonts w:asciiTheme="minorHAnsi" w:hAnsiTheme="minorHAnsi" w:cstheme="minorHAnsi"/>
                <w:sz w:val="20"/>
                <w:szCs w:val="20"/>
                <w:lang w:val="en-US"/>
              </w:rPr>
              <w:lastRenderedPageBreak/>
              <w:t>Yates P. Symptom Management and Palliative Care for Patients with Cancer. Nursing Clinics of North America. 2017 Mar</w:t>
            </w:r>
            <w:proofErr w:type="gramStart"/>
            <w:r w:rsidRPr="00676303">
              <w:rPr>
                <w:rFonts w:asciiTheme="minorHAnsi" w:hAnsiTheme="minorHAnsi" w:cstheme="minorHAnsi"/>
                <w:sz w:val="20"/>
                <w:szCs w:val="20"/>
                <w:lang w:val="en-US"/>
              </w:rPr>
              <w:t>;52</w:t>
            </w:r>
            <w:proofErr w:type="gramEnd"/>
            <w:r w:rsidRPr="00676303">
              <w:rPr>
                <w:rFonts w:asciiTheme="minorHAnsi" w:hAnsiTheme="minorHAnsi" w:cstheme="minorHAnsi"/>
                <w:sz w:val="20"/>
                <w:szCs w:val="20"/>
                <w:lang w:val="en-US"/>
              </w:rPr>
              <w:t xml:space="preserve">(1):179–91. </w:t>
            </w:r>
            <w:hyperlink r:id="rId6" w:history="1">
              <w:r w:rsidRPr="00676303">
                <w:rPr>
                  <w:rStyle w:val="Hyperlink"/>
                  <w:rFonts w:asciiTheme="minorHAnsi" w:eastAsiaTheme="minorHAnsi" w:hAnsiTheme="minorHAnsi" w:cstheme="minorHAnsi"/>
                  <w:sz w:val="20"/>
                  <w:szCs w:val="20"/>
                  <w:lang w:val="en-US"/>
                </w:rPr>
                <w:t>http://dx.doi.org/10.1016/j.cnur.2016.10.006</w:t>
              </w:r>
            </w:hyperlink>
          </w:p>
          <w:p w14:paraId="3CB0B56D" w14:textId="77777777" w:rsidR="00253408" w:rsidRPr="00676303" w:rsidRDefault="00253408" w:rsidP="005B2359">
            <w:pPr>
              <w:pStyle w:val="Bibliography"/>
              <w:numPr>
                <w:ilvl w:val="0"/>
                <w:numId w:val="3"/>
              </w:numPr>
              <w:tabs>
                <w:tab w:val="left" w:pos="384"/>
              </w:tabs>
              <w:spacing w:after="0" w:line="20" w:lineRule="atLeast"/>
              <w:rPr>
                <w:rStyle w:val="Hyperlink"/>
                <w:rFonts w:asciiTheme="minorHAnsi" w:eastAsiaTheme="minorHAnsi" w:hAnsiTheme="minorHAnsi" w:cstheme="minorHAnsi"/>
                <w:sz w:val="20"/>
                <w:szCs w:val="20"/>
                <w:lang w:val="en-US"/>
              </w:rPr>
            </w:pPr>
            <w:r w:rsidRPr="00676303">
              <w:rPr>
                <w:rFonts w:asciiTheme="minorHAnsi" w:hAnsiTheme="minorHAnsi" w:cstheme="minorHAnsi"/>
                <w:color w:val="222222"/>
                <w:sz w:val="20"/>
                <w:szCs w:val="20"/>
                <w:lang w:val="en-US"/>
              </w:rPr>
              <w:t xml:space="preserve">Assessment, Physical. "Symptom Assessment Acronym" </w:t>
            </w:r>
            <w:hyperlink r:id="rId7" w:history="1">
              <w:r w:rsidRPr="00676303">
                <w:rPr>
                  <w:rStyle w:val="Hyperlink"/>
                  <w:rFonts w:asciiTheme="minorHAnsi" w:eastAsiaTheme="minorHAnsi" w:hAnsiTheme="minorHAnsi" w:cstheme="minorHAnsi"/>
                  <w:sz w:val="20"/>
                  <w:szCs w:val="20"/>
                  <w:lang w:val="en-US"/>
                </w:rPr>
                <w:t>http://www.fraserhealth.ca/media/SymptomAssessmentRevised_Sept09.pdf</w:t>
              </w:r>
            </w:hyperlink>
          </w:p>
          <w:p w14:paraId="622CF322" w14:textId="77777777" w:rsidR="00253408" w:rsidRPr="00676303" w:rsidRDefault="00253408" w:rsidP="005B2359">
            <w:pPr>
              <w:spacing w:after="0" w:line="20" w:lineRule="atLeast"/>
              <w:rPr>
                <w:rFonts w:asciiTheme="minorHAnsi" w:hAnsiTheme="minorHAnsi"/>
                <w:sz w:val="20"/>
                <w:szCs w:val="20"/>
                <w:lang w:val="en-US"/>
              </w:rPr>
            </w:pPr>
            <w:r w:rsidRPr="00676303">
              <w:rPr>
                <w:rFonts w:asciiTheme="minorHAnsi" w:hAnsiTheme="minorHAnsi"/>
                <w:sz w:val="20"/>
                <w:szCs w:val="20"/>
                <w:lang w:val="en-US"/>
              </w:rPr>
              <w:object w:dxaOrig="1539" w:dyaOrig="995" w14:anchorId="50CFD7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AcroExch.Document.DC" ShapeID="_x0000_i1025" DrawAspect="Icon" ObjectID="_1643626961" r:id="rId9"/>
              </w:object>
            </w:r>
          </w:p>
        </w:tc>
      </w:tr>
    </w:tbl>
    <w:p w14:paraId="44D5D84E"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7702D"/>
    <w:multiLevelType w:val="hybridMultilevel"/>
    <w:tmpl w:val="1A2098FE"/>
    <w:lvl w:ilvl="0" w:tplc="B4ACAA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BA26310"/>
    <w:multiLevelType w:val="hybridMultilevel"/>
    <w:tmpl w:val="3BE4E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CA003F7"/>
    <w:multiLevelType w:val="hybridMultilevel"/>
    <w:tmpl w:val="AE74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FE1580"/>
    <w:multiLevelType w:val="hybridMultilevel"/>
    <w:tmpl w:val="57EECA28"/>
    <w:lvl w:ilvl="0" w:tplc="9E56D82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E2E04C2"/>
    <w:multiLevelType w:val="hybridMultilevel"/>
    <w:tmpl w:val="3CEC7536"/>
    <w:lvl w:ilvl="0" w:tplc="994C9D62">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BC6E43"/>
    <w:multiLevelType w:val="hybridMultilevel"/>
    <w:tmpl w:val="EE12E2BE"/>
    <w:lvl w:ilvl="0" w:tplc="9E56D824">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408"/>
    <w:rsid w:val="00205303"/>
    <w:rsid w:val="00253408"/>
    <w:rsid w:val="002F5799"/>
    <w:rsid w:val="00621B42"/>
    <w:rsid w:val="006F184C"/>
    <w:rsid w:val="00E45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4B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408"/>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semiHidden/>
    <w:unhideWhenUsed/>
    <w:rsid w:val="00253408"/>
  </w:style>
  <w:style w:type="paragraph" w:customStyle="1" w:styleId="Default">
    <w:name w:val="Default"/>
    <w:rsid w:val="00253408"/>
    <w:pPr>
      <w:autoSpaceDE w:val="0"/>
      <w:autoSpaceDN w:val="0"/>
      <w:adjustRightInd w:val="0"/>
      <w:spacing w:after="0" w:line="240" w:lineRule="auto"/>
    </w:pPr>
    <w:rPr>
      <w:rFonts w:ascii="Symbol" w:eastAsia="Calibri" w:hAnsi="Symbol" w:cs="Symbol"/>
      <w:color w:val="000000"/>
      <w:sz w:val="24"/>
      <w:szCs w:val="24"/>
    </w:rPr>
  </w:style>
  <w:style w:type="paragraph" w:styleId="ListParagraph">
    <w:name w:val="List Paragraph"/>
    <w:basedOn w:val="Normal"/>
    <w:uiPriority w:val="34"/>
    <w:qFormat/>
    <w:rsid w:val="00253408"/>
    <w:pPr>
      <w:spacing w:after="200" w:line="276" w:lineRule="auto"/>
      <w:ind w:left="720"/>
      <w:contextualSpacing/>
    </w:pPr>
    <w:rPr>
      <w:lang w:val="ro-RO"/>
    </w:rPr>
  </w:style>
  <w:style w:type="character" w:styleId="Hyperlink">
    <w:name w:val="Hyperlink"/>
    <w:basedOn w:val="DefaultParagraphFont"/>
    <w:uiPriority w:val="99"/>
    <w:unhideWhenUsed/>
    <w:rsid w:val="0025340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408"/>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semiHidden/>
    <w:unhideWhenUsed/>
    <w:rsid w:val="00253408"/>
  </w:style>
  <w:style w:type="paragraph" w:customStyle="1" w:styleId="Default">
    <w:name w:val="Default"/>
    <w:rsid w:val="00253408"/>
    <w:pPr>
      <w:autoSpaceDE w:val="0"/>
      <w:autoSpaceDN w:val="0"/>
      <w:adjustRightInd w:val="0"/>
      <w:spacing w:after="0" w:line="240" w:lineRule="auto"/>
    </w:pPr>
    <w:rPr>
      <w:rFonts w:ascii="Symbol" w:eastAsia="Calibri" w:hAnsi="Symbol" w:cs="Symbol"/>
      <w:color w:val="000000"/>
      <w:sz w:val="24"/>
      <w:szCs w:val="24"/>
    </w:rPr>
  </w:style>
  <w:style w:type="paragraph" w:styleId="ListParagraph">
    <w:name w:val="List Paragraph"/>
    <w:basedOn w:val="Normal"/>
    <w:uiPriority w:val="34"/>
    <w:qFormat/>
    <w:rsid w:val="00253408"/>
    <w:pPr>
      <w:spacing w:after="200" w:line="276" w:lineRule="auto"/>
      <w:ind w:left="720"/>
      <w:contextualSpacing/>
    </w:pPr>
    <w:rPr>
      <w:lang w:val="ro-RO"/>
    </w:rPr>
  </w:style>
  <w:style w:type="character" w:styleId="Hyperlink">
    <w:name w:val="Hyperlink"/>
    <w:basedOn w:val="DefaultParagraphFont"/>
    <w:uiPriority w:val="99"/>
    <w:unhideWhenUsed/>
    <w:rsid w:val="002534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hyperlink" Target="http://www.fraserhealth.ca/media/SymptomAssessmentRevised_Sept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016/j.cnur.2016.10.00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4</cp:revision>
  <dcterms:created xsi:type="dcterms:W3CDTF">2020-02-17T10:31:00Z</dcterms:created>
  <dcterms:modified xsi:type="dcterms:W3CDTF">2020-02-19T14:16:00Z</dcterms:modified>
</cp:coreProperties>
</file>