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654"/>
      </w:tblGrid>
      <w:tr w:rsidR="003F43EC" w:rsidRPr="00676303" w14:paraId="052F5A89" w14:textId="77777777" w:rsidTr="005B2359">
        <w:tc>
          <w:tcPr>
            <w:tcW w:w="9209" w:type="dxa"/>
            <w:gridSpan w:val="2"/>
            <w:shd w:val="clear" w:color="auto" w:fill="D9E2F3" w:themeFill="accent1" w:themeFillTint="33"/>
          </w:tcPr>
          <w:p w14:paraId="20D4222A" w14:textId="77777777" w:rsidR="003F43EC" w:rsidRPr="00676303" w:rsidRDefault="003F43EC" w:rsidP="005B2359">
            <w:pPr>
              <w:spacing w:after="0" w:line="20" w:lineRule="atLeast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  <w:lang w:val="en-US"/>
              </w:rPr>
              <w:t xml:space="preserve">Lesson Plan </w:t>
            </w:r>
          </w:p>
        </w:tc>
      </w:tr>
      <w:tr w:rsidR="003F43EC" w:rsidRPr="00676303" w14:paraId="2F885C24" w14:textId="77777777" w:rsidTr="005B2359">
        <w:tc>
          <w:tcPr>
            <w:tcW w:w="1555" w:type="dxa"/>
            <w:shd w:val="clear" w:color="auto" w:fill="D9E2F3" w:themeFill="accent1" w:themeFillTint="33"/>
          </w:tcPr>
          <w:p w14:paraId="04B0F2DE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Teaching Unit</w:t>
            </w:r>
          </w:p>
        </w:tc>
        <w:tc>
          <w:tcPr>
            <w:tcW w:w="7654" w:type="dxa"/>
            <w:shd w:val="clear" w:color="auto" w:fill="auto"/>
          </w:tcPr>
          <w:p w14:paraId="1361F1DD" w14:textId="79C0EB0B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Ethical &amp;Legal Issues </w:t>
            </w:r>
          </w:p>
        </w:tc>
      </w:tr>
      <w:tr w:rsidR="003F43EC" w:rsidRPr="00676303" w14:paraId="19297651" w14:textId="77777777" w:rsidTr="005B2359">
        <w:tc>
          <w:tcPr>
            <w:tcW w:w="1555" w:type="dxa"/>
            <w:shd w:val="clear" w:color="auto" w:fill="D9E2F3" w:themeFill="accent1" w:themeFillTint="33"/>
          </w:tcPr>
          <w:p w14:paraId="1D43950A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Title</w:t>
            </w:r>
          </w:p>
        </w:tc>
        <w:tc>
          <w:tcPr>
            <w:tcW w:w="7654" w:type="dxa"/>
            <w:shd w:val="clear" w:color="auto" w:fill="auto"/>
          </w:tcPr>
          <w:p w14:paraId="44B970CE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val="en-US" w:eastAsia="en-GB"/>
              </w:rPr>
              <w:t>Palliative care sedation, physician assisted suicide and euthanasia</w:t>
            </w:r>
          </w:p>
        </w:tc>
      </w:tr>
      <w:tr w:rsidR="003F43EC" w:rsidRPr="00676303" w14:paraId="2EB97C18" w14:textId="77777777" w:rsidTr="005B2359">
        <w:tc>
          <w:tcPr>
            <w:tcW w:w="1555" w:type="dxa"/>
            <w:shd w:val="clear" w:color="auto" w:fill="D9E2F3" w:themeFill="accent1" w:themeFillTint="33"/>
          </w:tcPr>
          <w:p w14:paraId="66ACAEFB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 xml:space="preserve">Learning Outcome </w:t>
            </w:r>
          </w:p>
        </w:tc>
        <w:tc>
          <w:tcPr>
            <w:tcW w:w="7654" w:type="dxa"/>
            <w:shd w:val="clear" w:color="auto" w:fill="auto"/>
          </w:tcPr>
          <w:p w14:paraId="09C1BDCF" w14:textId="77777777" w:rsidR="003F43EC" w:rsidRPr="00676303" w:rsidRDefault="003F43EC" w:rsidP="005B2359">
            <w:pPr>
              <w:spacing w:after="0" w:line="20" w:lineRule="atLeast"/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  <w:lang w:val="en-US" w:eastAsia="en-GB"/>
              </w:rPr>
            </w:pPr>
            <w:r w:rsidRPr="00676303"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  <w:lang w:val="en-US" w:eastAsia="en-GB"/>
              </w:rPr>
              <w:t xml:space="preserve">Critically evaluate why palliative care is a human right. </w:t>
            </w:r>
          </w:p>
          <w:p w14:paraId="689B73E1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3F43EC" w:rsidRPr="00676303" w14:paraId="1A48169B" w14:textId="77777777" w:rsidTr="005B2359">
        <w:tc>
          <w:tcPr>
            <w:tcW w:w="1555" w:type="dxa"/>
            <w:shd w:val="clear" w:color="auto" w:fill="D9E2F3" w:themeFill="accent1" w:themeFillTint="33"/>
          </w:tcPr>
          <w:p w14:paraId="1CDA7A24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 xml:space="preserve">Summary </w:t>
            </w:r>
          </w:p>
        </w:tc>
        <w:tc>
          <w:tcPr>
            <w:tcW w:w="7654" w:type="dxa"/>
            <w:shd w:val="clear" w:color="auto" w:fill="auto"/>
          </w:tcPr>
          <w:p w14:paraId="048C6D41" w14:textId="4153DE00" w:rsidR="003F43EC" w:rsidRPr="00676303" w:rsidRDefault="003F43EC" w:rsidP="005B2359">
            <w:pPr>
              <w:spacing w:after="0" w:line="20" w:lineRule="atLeast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By the end of course, students should be able to understand the ethical dilemmas and ethical behavior related to </w:t>
            </w:r>
            <w:r w:rsidRPr="00676303">
              <w:rPr>
                <w:rFonts w:asciiTheme="minorHAnsi" w:eastAsia="Times New Roman" w:hAnsiTheme="minorHAnsi" w:cstheme="minorHAnsi"/>
                <w:bCs/>
                <w:color w:val="000000" w:themeColor="text1"/>
                <w:sz w:val="20"/>
                <w:szCs w:val="20"/>
                <w:lang w:val="en-US" w:eastAsia="en-GB"/>
              </w:rPr>
              <w:t>Palliative care, physician assisted suicide and euthanasia</w:t>
            </w:r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, how to c</w:t>
            </w:r>
            <w:r w:rsidRPr="00676303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val="en-US"/>
              </w:rPr>
              <w:t>ritically evaluate why palliative care is a human right.</w:t>
            </w:r>
          </w:p>
        </w:tc>
      </w:tr>
      <w:tr w:rsidR="003F43EC" w:rsidRPr="00676303" w14:paraId="34D0A9C1" w14:textId="77777777" w:rsidTr="005B2359">
        <w:tc>
          <w:tcPr>
            <w:tcW w:w="1555" w:type="dxa"/>
            <w:shd w:val="clear" w:color="auto" w:fill="D9E2F3" w:themeFill="accent1" w:themeFillTint="33"/>
          </w:tcPr>
          <w:p w14:paraId="5A97F06E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Learning Objectives</w:t>
            </w:r>
          </w:p>
          <w:p w14:paraId="11EF87AD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</w:p>
          <w:p w14:paraId="2D34B7EA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 xml:space="preserve">C- Cognition  </w:t>
            </w:r>
          </w:p>
          <w:p w14:paraId="5A804B19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S – Skills</w:t>
            </w:r>
          </w:p>
          <w:p w14:paraId="06CDD5AD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A – Attitudes</w:t>
            </w:r>
          </w:p>
          <w:p w14:paraId="218B0E4A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7654" w:type="dxa"/>
            <w:shd w:val="clear" w:color="auto" w:fill="auto"/>
          </w:tcPr>
          <w:p w14:paraId="6EAFE873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C- Cognition</w:t>
            </w:r>
          </w:p>
          <w:p w14:paraId="6D756D20" w14:textId="77777777" w:rsidR="003F43EC" w:rsidRPr="00676303" w:rsidRDefault="003F43EC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definitions of palliative care, euthanasia, PAS, withholding or withdrawing futile treatment and palliative sedation </w:t>
            </w:r>
          </w:p>
          <w:p w14:paraId="4CE84D73" w14:textId="77777777" w:rsidR="003F43EC" w:rsidRPr="00676303" w:rsidRDefault="003F43EC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describes the international and national legal framework that supports the development of palliative services</w:t>
            </w:r>
          </w:p>
          <w:p w14:paraId="06F0131E" w14:textId="40C469BC" w:rsidR="003F43EC" w:rsidRPr="00676303" w:rsidRDefault="003F43EC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val="en-US" w:eastAsia="en-GB"/>
              </w:rPr>
              <w:t xml:space="preserve">Explains PC sedation and the differences between PC sedation /PAS/Euthanasia and what factors may prompt requests for PAS/Euthanasia </w:t>
            </w:r>
          </w:p>
          <w:p w14:paraId="431A0D50" w14:textId="77777777" w:rsidR="003F43EC" w:rsidRPr="00676303" w:rsidRDefault="003F43EC" w:rsidP="005B2359">
            <w:pPr>
              <w:pStyle w:val="ListParagraph"/>
              <w:numPr>
                <w:ilvl w:val="0"/>
                <w:numId w:val="2"/>
              </w:numPr>
              <w:spacing w:after="0" w:line="20" w:lineRule="atLeast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evaluates how PAS/Euthanasia may impact on the perception and provision of palliative care.</w:t>
            </w:r>
          </w:p>
          <w:p w14:paraId="597D7E5E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 xml:space="preserve">S - Skills </w:t>
            </w:r>
          </w:p>
          <w:p w14:paraId="3E65C0DA" w14:textId="47911802" w:rsidR="003F43EC" w:rsidRPr="00676303" w:rsidRDefault="003F43EC" w:rsidP="005B2359">
            <w:pPr>
              <w:pStyle w:val="ListParagraph"/>
              <w:numPr>
                <w:ilvl w:val="0"/>
                <w:numId w:val="3"/>
              </w:numPr>
              <w:spacing w:after="0" w:line="20" w:lineRule="atLeast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evaluates individual requests for euthanasia and PAS and their origin factors (personal, psychological, spiritual, social, cultural, economic and demographic)</w:t>
            </w:r>
          </w:p>
          <w:p w14:paraId="60A449D4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A – Attitudes</w:t>
            </w:r>
          </w:p>
          <w:p w14:paraId="3E17DEF1" w14:textId="3D90487D" w:rsidR="003F43EC" w:rsidRPr="00847D5A" w:rsidRDefault="003F43EC" w:rsidP="005B2359">
            <w:pPr>
              <w:pStyle w:val="ListParagraph"/>
              <w:numPr>
                <w:ilvl w:val="0"/>
                <w:numId w:val="1"/>
              </w:numPr>
              <w:spacing w:after="0" w:line="20" w:lineRule="atLeast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val="en-US" w:eastAsia="en-GB"/>
              </w:rPr>
              <w:t xml:space="preserve">Reflects why PC is a human right for all </w:t>
            </w:r>
          </w:p>
        </w:tc>
      </w:tr>
      <w:tr w:rsidR="003F43EC" w:rsidRPr="00676303" w14:paraId="3222D939" w14:textId="77777777" w:rsidTr="005B2359">
        <w:tc>
          <w:tcPr>
            <w:tcW w:w="1555" w:type="dxa"/>
            <w:shd w:val="clear" w:color="auto" w:fill="D9E2F3" w:themeFill="accent1" w:themeFillTint="33"/>
          </w:tcPr>
          <w:p w14:paraId="440D21A9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Learning Methods</w:t>
            </w:r>
          </w:p>
        </w:tc>
        <w:tc>
          <w:tcPr>
            <w:tcW w:w="7654" w:type="dxa"/>
            <w:shd w:val="clear" w:color="auto" w:fill="auto"/>
          </w:tcPr>
          <w:p w14:paraId="46D13459" w14:textId="3FCD71BC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="Calibri"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color w:val="000000" w:themeColor="text1"/>
                <w:sz w:val="20"/>
                <w:szCs w:val="20"/>
                <w:lang w:val="en-US"/>
              </w:rPr>
              <w:t xml:space="preserve">1hour classroom </w:t>
            </w:r>
          </w:p>
          <w:p w14:paraId="62D22002" w14:textId="77777777" w:rsidR="003F43EC" w:rsidRPr="00676303" w:rsidRDefault="003F43EC" w:rsidP="005B2359">
            <w:pPr>
              <w:spacing w:after="0" w:line="20" w:lineRule="atLeast"/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3F43EC" w:rsidRPr="00676303" w14:paraId="26B96713" w14:textId="77777777" w:rsidTr="005B2359">
        <w:tc>
          <w:tcPr>
            <w:tcW w:w="1555" w:type="dxa"/>
            <w:shd w:val="clear" w:color="auto" w:fill="D9E2F3" w:themeFill="accent1" w:themeFillTint="33"/>
          </w:tcPr>
          <w:p w14:paraId="7DF43A24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 xml:space="preserve">Timing </w:t>
            </w:r>
          </w:p>
        </w:tc>
        <w:tc>
          <w:tcPr>
            <w:tcW w:w="7654" w:type="dxa"/>
            <w:shd w:val="clear" w:color="auto" w:fill="auto"/>
          </w:tcPr>
          <w:p w14:paraId="1D678080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="Calibri"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="Calibri"/>
                <w:color w:val="000000" w:themeColor="text1"/>
                <w:sz w:val="20"/>
                <w:szCs w:val="20"/>
                <w:lang w:val="en-US"/>
              </w:rPr>
              <w:t xml:space="preserve">On-line </w:t>
            </w:r>
          </w:p>
        </w:tc>
      </w:tr>
      <w:tr w:rsidR="003F43EC" w:rsidRPr="00676303" w14:paraId="29B5E0FA" w14:textId="77777777" w:rsidTr="005B2359">
        <w:tc>
          <w:tcPr>
            <w:tcW w:w="1555" w:type="dxa"/>
            <w:shd w:val="clear" w:color="auto" w:fill="D9E2F3" w:themeFill="accent1" w:themeFillTint="33"/>
          </w:tcPr>
          <w:p w14:paraId="31B3FCB3" w14:textId="77777777" w:rsidR="003F43EC" w:rsidRPr="00676303" w:rsidRDefault="003F43EC" w:rsidP="005B2359">
            <w:pPr>
              <w:spacing w:after="0" w:line="20" w:lineRule="atLeas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67630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 xml:space="preserve">Bibliography/ Resources </w:t>
            </w:r>
          </w:p>
        </w:tc>
        <w:tc>
          <w:tcPr>
            <w:tcW w:w="7654" w:type="dxa"/>
            <w:shd w:val="clear" w:color="auto" w:fill="auto"/>
          </w:tcPr>
          <w:p w14:paraId="60F22CBA" w14:textId="77777777" w:rsidR="003F43EC" w:rsidRPr="00676303" w:rsidRDefault="003F43EC" w:rsidP="005B235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Lukas Radbruch1,2, Carlo Leget3, Patrick Bahr1, Christof Müller-Busch4,5, John Ellershaw6, Franco de Conno7 and Paul </w:t>
            </w:r>
            <w:proofErr w:type="spellStart"/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Vanden</w:t>
            </w:r>
            <w:proofErr w:type="spellEnd"/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Berghe8 Euthanasia and physician-assisted suicide: A white paper from the European Association for Palliative Care Palliative Medicine 2015 1-13 </w:t>
            </w:r>
            <w:hyperlink r:id="rId6" w:history="1">
              <w:r w:rsidRPr="00676303">
                <w:rPr>
                  <w:rStyle w:val="Hyperlink"/>
                  <w:rFonts w:asciiTheme="minorHAnsi" w:hAnsiTheme="minorHAnsi" w:cstheme="minorHAnsi"/>
                  <w:color w:val="000000" w:themeColor="text1"/>
                  <w:sz w:val="20"/>
                  <w:szCs w:val="20"/>
                  <w:lang w:val="en-US"/>
                </w:rPr>
                <w:t>http://www.eapcnet.eu/LinkClick.aspx?fileticket=28Vb6OIn9SQ%3D</w:t>
              </w:r>
            </w:hyperlink>
            <w:r w:rsidRPr="00676303">
              <w:rPr>
                <w:rStyle w:val="Hyperlink"/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45AAC345" w14:textId="77777777" w:rsidR="003F43EC" w:rsidRPr="00676303" w:rsidRDefault="00847D5A" w:rsidP="005B235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hyperlink r:id="rId7" w:history="1">
              <w:r w:rsidR="003F43EC" w:rsidRPr="00676303">
                <w:rPr>
                  <w:rStyle w:val="Hyperlink"/>
                  <w:rFonts w:asciiTheme="minorHAnsi" w:hAnsiTheme="minorHAnsi"/>
                  <w:color w:val="000000" w:themeColor="text1"/>
                  <w:sz w:val="20"/>
                  <w:szCs w:val="20"/>
                  <w:lang w:val="en-US"/>
                </w:rPr>
                <w:t>Liliana De Lima</w:t>
              </w:r>
            </w:hyperlink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>, MHA,</w:t>
            </w:r>
            <w:r w:rsidR="003F43EC" w:rsidRPr="00676303">
              <w:rPr>
                <w:noProof/>
                <w:vertAlign w:val="superscript"/>
                <w:lang w:val="en-IE" w:eastAsia="en-IE"/>
              </w:rPr>
              <w:drawing>
                <wp:inline distT="0" distB="0" distL="0" distR="0" wp14:anchorId="41848D98" wp14:editId="1538D198">
                  <wp:extent cx="67945" cy="81915"/>
                  <wp:effectExtent l="19050" t="0" r="8255" b="0"/>
                  <wp:docPr id="5" name="Picture 5" descr="corresponding auth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rresponding auth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" cy="81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vertAlign w:val="superscript"/>
                <w:lang w:val="en-US"/>
              </w:rPr>
              <w:t>1</w:t>
            </w:r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hyperlink r:id="rId9" w:history="1">
              <w:r w:rsidR="003F43EC" w:rsidRPr="00676303">
                <w:rPr>
                  <w:rStyle w:val="Hyperlink"/>
                  <w:rFonts w:asciiTheme="minorHAnsi" w:hAnsiTheme="minorHAnsi"/>
                  <w:color w:val="000000" w:themeColor="text1"/>
                  <w:sz w:val="20"/>
                  <w:szCs w:val="20"/>
                  <w:lang w:val="en-US"/>
                </w:rPr>
                <w:t>Roger Woodruff</w:t>
              </w:r>
            </w:hyperlink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>, MD,</w:t>
            </w:r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vertAlign w:val="superscript"/>
                <w:lang w:val="en-US"/>
              </w:rPr>
              <w:t>2</w:t>
            </w:r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hyperlink r:id="rId10" w:history="1">
              <w:r w:rsidR="003F43EC" w:rsidRPr="00676303">
                <w:rPr>
                  <w:rStyle w:val="Hyperlink"/>
                  <w:rFonts w:asciiTheme="minorHAnsi" w:hAnsiTheme="minorHAnsi"/>
                  <w:color w:val="000000" w:themeColor="text1"/>
                  <w:sz w:val="20"/>
                  <w:szCs w:val="20"/>
                  <w:lang w:val="en-US"/>
                </w:rPr>
                <w:t>Katherine Pettus</w:t>
              </w:r>
            </w:hyperlink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>, PhD,</w:t>
            </w:r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vertAlign w:val="superscript"/>
                <w:lang w:val="en-US"/>
              </w:rPr>
              <w:t>1</w:t>
            </w:r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hyperlink r:id="rId11" w:history="1">
              <w:r w:rsidR="003F43EC" w:rsidRPr="00676303">
                <w:rPr>
                  <w:rStyle w:val="Hyperlink"/>
                  <w:rFonts w:asciiTheme="minorHAnsi" w:hAnsiTheme="minorHAnsi"/>
                  <w:color w:val="000000" w:themeColor="text1"/>
                  <w:sz w:val="20"/>
                  <w:szCs w:val="20"/>
                  <w:lang w:val="en-US"/>
                </w:rPr>
                <w:t>Julia Downing</w:t>
              </w:r>
            </w:hyperlink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>, RN, PhD,</w:t>
            </w:r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vertAlign w:val="superscript"/>
                <w:lang w:val="en-US"/>
              </w:rPr>
              <w:t>3</w:t>
            </w:r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hyperlink r:id="rId12" w:history="1">
              <w:r w:rsidR="003F43EC" w:rsidRPr="00676303">
                <w:rPr>
                  <w:rStyle w:val="Hyperlink"/>
                  <w:rFonts w:asciiTheme="minorHAnsi" w:hAnsiTheme="minorHAnsi"/>
                  <w:color w:val="000000" w:themeColor="text1"/>
                  <w:sz w:val="20"/>
                  <w:szCs w:val="20"/>
                  <w:lang w:val="en-US"/>
                </w:rPr>
                <w:t>Rosa Buitrago</w:t>
              </w:r>
            </w:hyperlink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>, MCPH,</w:t>
            </w:r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vertAlign w:val="superscript"/>
                <w:lang w:val="en-US"/>
              </w:rPr>
              <w:t>4</w:t>
            </w:r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hyperlink r:id="rId13" w:history="1">
              <w:r w:rsidR="003F43EC" w:rsidRPr="00676303">
                <w:rPr>
                  <w:rStyle w:val="Hyperlink"/>
                  <w:rFonts w:asciiTheme="minorHAnsi" w:hAnsiTheme="minorHAnsi"/>
                  <w:color w:val="000000" w:themeColor="text1"/>
                  <w:sz w:val="20"/>
                  <w:szCs w:val="20"/>
                  <w:lang w:val="en-US"/>
                </w:rPr>
                <w:t>Esther Munyoro</w:t>
              </w:r>
            </w:hyperlink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>, MD,</w:t>
            </w:r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vertAlign w:val="superscript"/>
                <w:lang w:val="en-US"/>
              </w:rPr>
              <w:t>5</w:t>
            </w:r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hyperlink r:id="rId14" w:history="1">
              <w:r w:rsidR="003F43EC" w:rsidRPr="00676303">
                <w:rPr>
                  <w:rStyle w:val="Hyperlink"/>
                  <w:rFonts w:asciiTheme="minorHAnsi" w:hAnsiTheme="minorHAnsi"/>
                  <w:color w:val="000000" w:themeColor="text1"/>
                  <w:sz w:val="20"/>
                  <w:szCs w:val="20"/>
                  <w:lang w:val="en-US"/>
                </w:rPr>
                <w:t>Chitra Venkateswaran</w:t>
              </w:r>
            </w:hyperlink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>, MD,</w:t>
            </w:r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vertAlign w:val="superscript"/>
                <w:lang w:val="en-US"/>
              </w:rPr>
              <w:t>6</w:t>
            </w:r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hyperlink r:id="rId15" w:history="1">
              <w:r w:rsidR="003F43EC" w:rsidRPr="00676303">
                <w:rPr>
                  <w:rStyle w:val="Hyperlink"/>
                  <w:rFonts w:asciiTheme="minorHAnsi" w:hAnsiTheme="minorHAnsi"/>
                  <w:color w:val="000000" w:themeColor="text1"/>
                  <w:sz w:val="20"/>
                  <w:szCs w:val="20"/>
                  <w:lang w:val="en-US"/>
                </w:rPr>
                <w:t>Sushma Bhatnagar</w:t>
              </w:r>
            </w:hyperlink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>, MD,</w:t>
            </w:r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vertAlign w:val="superscript"/>
                <w:lang w:val="en-US"/>
              </w:rPr>
              <w:t>7</w:t>
            </w:r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 and </w:t>
            </w:r>
            <w:hyperlink r:id="rId16" w:history="1">
              <w:r w:rsidR="003F43EC" w:rsidRPr="00676303">
                <w:rPr>
                  <w:rStyle w:val="Hyperlink"/>
                  <w:rFonts w:asciiTheme="minorHAnsi" w:hAnsiTheme="minorHAnsi"/>
                  <w:color w:val="000000" w:themeColor="text1"/>
                  <w:sz w:val="20"/>
                  <w:szCs w:val="20"/>
                  <w:lang w:val="en-US"/>
                </w:rPr>
                <w:t>Lukas Radbruch</w:t>
              </w:r>
            </w:hyperlink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, International Association for Hospice and Palliative Care Position Statement: Euthanasia and Physician-Assisted Suicide J Palliative Medicine 2017 20(1) 8-14 </w:t>
            </w:r>
            <w:hyperlink r:id="rId17" w:history="1">
              <w:r w:rsidR="003F43EC" w:rsidRPr="00676303">
                <w:rPr>
                  <w:rStyle w:val="Hyperlink"/>
                  <w:rFonts w:asciiTheme="minorHAnsi" w:hAnsiTheme="minorHAnsi"/>
                  <w:color w:val="000000" w:themeColor="text1"/>
                  <w:sz w:val="20"/>
                  <w:szCs w:val="20"/>
                  <w:lang w:val="en-US"/>
                </w:rPr>
                <w:t>https://www.ncbi.nlm.nih.gov/pmc/articles/PMC5177996/</w:t>
              </w:r>
            </w:hyperlink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431216E4" w14:textId="77777777" w:rsidR="003F43EC" w:rsidRPr="00676303" w:rsidRDefault="003F43EC" w:rsidP="005B235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Nathan I </w:t>
            </w:r>
            <w:proofErr w:type="spellStart"/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Cherny</w:t>
            </w:r>
            <w:proofErr w:type="spellEnd"/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Lukas </w:t>
            </w:r>
            <w:proofErr w:type="spellStart"/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Radbruch</w:t>
            </w:r>
            <w:proofErr w:type="spellEnd"/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European Association for Palliative Care</w:t>
            </w:r>
          </w:p>
          <w:p w14:paraId="28050717" w14:textId="77777777" w:rsidR="003F43EC" w:rsidRPr="00676303" w:rsidRDefault="003F43EC" w:rsidP="005B235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(EAPC) recommended framework for the use of sedation in palliative care           Palliative Medicine 23(7) 581–593</w:t>
            </w:r>
          </w:p>
          <w:p w14:paraId="63EDC429" w14:textId="77777777" w:rsidR="003F43EC" w:rsidRPr="00676303" w:rsidRDefault="00847D5A" w:rsidP="005B235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0" w:lineRule="atLeast"/>
              <w:rPr>
                <w:rStyle w:val="cit"/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hyperlink r:id="rId18" w:history="1">
              <w:r w:rsidR="003F43EC" w:rsidRPr="00676303">
                <w:rPr>
                  <w:rStyle w:val="Hyperlink"/>
                  <w:rFonts w:asciiTheme="minorHAnsi" w:hAnsiTheme="minorHAnsi"/>
                  <w:color w:val="000000" w:themeColor="text1"/>
                  <w:sz w:val="20"/>
                  <w:szCs w:val="20"/>
                  <w:lang w:val="en-US"/>
                </w:rPr>
                <w:t>J. Pereira</w:t>
              </w:r>
            </w:hyperlink>
            <w:r w:rsidR="003F43EC" w:rsidRPr="00676303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 Legalizing euthanasia or assisted suicide: the illusion of safeguards and controls </w:t>
            </w:r>
            <w:hyperlink r:id="rId19" w:history="1">
              <w:r w:rsidR="003F43EC" w:rsidRPr="00676303">
                <w:rPr>
                  <w:rStyle w:val="Hyperlink"/>
                  <w:rFonts w:asciiTheme="minorHAnsi" w:hAnsiTheme="minorHAnsi"/>
                  <w:color w:val="000000" w:themeColor="text1"/>
                  <w:sz w:val="20"/>
                  <w:szCs w:val="20"/>
                  <w:lang w:val="en-US"/>
                </w:rPr>
                <w:t>Curr Oncol</w:t>
              </w:r>
            </w:hyperlink>
            <w:r w:rsidR="003F43EC" w:rsidRPr="00676303">
              <w:rPr>
                <w:rStyle w:val="cit"/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. 2011 Apr; 18(2): e38–e45.  </w:t>
            </w:r>
            <w:hyperlink r:id="rId20" w:history="1">
              <w:r w:rsidR="003F43EC" w:rsidRPr="00676303">
                <w:rPr>
                  <w:rStyle w:val="Hyperlink"/>
                  <w:rFonts w:asciiTheme="minorHAnsi" w:hAnsiTheme="minorHAnsi"/>
                  <w:color w:val="000000" w:themeColor="text1"/>
                  <w:sz w:val="20"/>
                  <w:szCs w:val="20"/>
                  <w:lang w:val="en-US"/>
                </w:rPr>
                <w:t>https://www.ncbi.nlm.nih.gov/pmc/articles/PMC3070710/</w:t>
              </w:r>
            </w:hyperlink>
            <w:r w:rsidR="003F43EC" w:rsidRPr="00676303">
              <w:rPr>
                <w:rStyle w:val="cit"/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338B4BB0" w14:textId="77777777" w:rsidR="003F43EC" w:rsidRPr="00676303" w:rsidRDefault="00847D5A" w:rsidP="005B235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hyperlink r:id="rId21" w:history="1">
              <w:r w:rsidR="003F43EC" w:rsidRPr="00676303"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  <w:lang w:val="en-US"/>
                </w:rPr>
                <w:t>Brennan F</w:t>
              </w:r>
            </w:hyperlink>
            <w:r w:rsidR="003F43EC"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Palliative care as an international human right. </w:t>
            </w:r>
            <w:hyperlink r:id="rId22" w:tooltip="Journal of pain and symptom management." w:history="1">
              <w:r w:rsidR="003F43EC" w:rsidRPr="00676303"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  <w:lang w:val="en-US"/>
                </w:rPr>
                <w:t>J Pain Symptom Manage.</w:t>
              </w:r>
            </w:hyperlink>
            <w:r w:rsidR="003F43EC"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2007 May;33(5):494-9</w:t>
            </w:r>
          </w:p>
          <w:p w14:paraId="01E35CE8" w14:textId="77777777" w:rsidR="003F43EC" w:rsidRPr="00676303" w:rsidRDefault="003F43EC" w:rsidP="005B235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Palliative care as a human right: what has the </w:t>
            </w:r>
            <w:proofErr w:type="spellStart"/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Prague</w:t>
            </w:r>
            <w:proofErr w:type="gramStart"/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,Charter</w:t>
            </w:r>
            <w:proofErr w:type="spellEnd"/>
            <w:proofErr w:type="gramEnd"/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achieved? </w:t>
            </w:r>
            <w:hyperlink r:id="rId23" w:history="1">
              <w:r w:rsidRPr="00676303">
                <w:rPr>
                  <w:rStyle w:val="Hyperlink"/>
                  <w:rFonts w:asciiTheme="minorHAnsi" w:hAnsiTheme="minorHAnsi" w:cstheme="minorHAnsi"/>
                  <w:color w:val="000000" w:themeColor="text1"/>
                  <w:sz w:val="20"/>
                  <w:szCs w:val="20"/>
                  <w:lang w:val="en-US"/>
                </w:rPr>
                <w:t>http://www.eapcnet.eu/Portals/0/Clinical/Publications/EJPC22%283%29Schmidlin.pdf</w:t>
              </w:r>
            </w:hyperlink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0A6FEC14" w14:textId="77777777" w:rsidR="003F43EC" w:rsidRPr="00676303" w:rsidRDefault="003F43EC" w:rsidP="005B235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LIZ GWYTHER, PALLIATIVE CARE AS A HUMAN RIGHT CANCER CONTROL 2014 116-121 </w:t>
            </w:r>
            <w:hyperlink r:id="rId24" w:history="1">
              <w:r w:rsidRPr="00676303">
                <w:rPr>
                  <w:rStyle w:val="Hyperlink"/>
                  <w:rFonts w:asciiTheme="minorHAnsi" w:hAnsiTheme="minorHAnsi"/>
                  <w:color w:val="000000" w:themeColor="text1"/>
                  <w:sz w:val="20"/>
                  <w:szCs w:val="20"/>
                  <w:lang w:val="en-US"/>
                </w:rPr>
                <w:t>http://www.cancercontrol.info/wp-content/uploads/2014/08/116-121-Gwyther.pdf</w:t>
              </w:r>
            </w:hyperlink>
            <w:r w:rsidRPr="00676303">
              <w:rPr>
                <w:rStyle w:val="Hyperlink"/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02C06CCD" w14:textId="77777777" w:rsidR="003F43EC" w:rsidRPr="00676303" w:rsidRDefault="003F43EC" w:rsidP="005B235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Emanuel E. J.; Fairclough D. L.; Emanuel L. L. Attitudes and desires related to euthanasia and physician-assisted suicide among terminally ill patients and their </w:t>
            </w:r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lastRenderedPageBreak/>
              <w:t>caregivers. Jama, 2000, 284.19: 2460-2468.</w:t>
            </w:r>
          </w:p>
          <w:p w14:paraId="2B1A9B0E" w14:textId="77777777" w:rsidR="003F43EC" w:rsidRPr="00676303" w:rsidRDefault="003F43EC" w:rsidP="005B235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Meisel</w:t>
            </w:r>
            <w:proofErr w:type="spellEnd"/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A., et al. Seven legal barriers to end-of-life care: myths, realities, and grains of truth. Jama, 2000, 284.19: 2495-2501.</w:t>
            </w:r>
          </w:p>
          <w:p w14:paraId="36BB2136" w14:textId="77777777" w:rsidR="003F43EC" w:rsidRPr="00676303" w:rsidRDefault="003F43EC" w:rsidP="005B235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Piili</w:t>
            </w:r>
            <w:proofErr w:type="spellEnd"/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R. P., et al. Changes in attitudes towards hastened death among Finnish physicians over the past sixteen years. BMC medical ethics, 2018, 19.1: 40.</w:t>
            </w:r>
          </w:p>
          <w:p w14:paraId="43F5F640" w14:textId="77777777" w:rsidR="003F43EC" w:rsidRPr="00676303" w:rsidRDefault="003F43EC" w:rsidP="005B235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Quill T. E.; Lo B.; Brock D. W. Palliative options of last resort: a comparison of voluntarily stopping eating and drinking, terminal sedation, physician-assisted suicide, and voluntary active euthanasia. In: Giving death a helping hand. Springer, Dordrecht, 2008. p. 49-64.</w:t>
            </w:r>
          </w:p>
          <w:p w14:paraId="41DF2C5E" w14:textId="5CADF4D2" w:rsidR="003F43EC" w:rsidRPr="00847D5A" w:rsidRDefault="003F43EC" w:rsidP="00847D5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67630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Rodríguez-Prat A, et al. Understanding patients’ experiences of the wish to hasten death: an updated and expanded systematic review and meta-ethnography. BMJ open, 2017, 7.9: e016659.</w:t>
            </w:r>
            <w:bookmarkStart w:id="0" w:name="_GoBack"/>
            <w:bookmarkEnd w:id="0"/>
          </w:p>
        </w:tc>
      </w:tr>
    </w:tbl>
    <w:p w14:paraId="7CACE3CA" w14:textId="77777777" w:rsidR="006F184C" w:rsidRDefault="006F184C"/>
    <w:sectPr w:rsidR="006F1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61940"/>
    <w:multiLevelType w:val="hybridMultilevel"/>
    <w:tmpl w:val="784ED682"/>
    <w:lvl w:ilvl="0" w:tplc="1EDE80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0B06D3"/>
    <w:multiLevelType w:val="hybridMultilevel"/>
    <w:tmpl w:val="784ED682"/>
    <w:lvl w:ilvl="0" w:tplc="1EDE80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5F9B"/>
    <w:multiLevelType w:val="hybridMultilevel"/>
    <w:tmpl w:val="576402B4"/>
    <w:lvl w:ilvl="0" w:tplc="1EDE80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9722F"/>
    <w:multiLevelType w:val="hybridMultilevel"/>
    <w:tmpl w:val="576402B4"/>
    <w:lvl w:ilvl="0" w:tplc="1EDE80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3EC"/>
    <w:rsid w:val="003F43EC"/>
    <w:rsid w:val="006F184C"/>
    <w:rsid w:val="00847D5A"/>
    <w:rsid w:val="00E4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E58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3EC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3EC"/>
    <w:pPr>
      <w:spacing w:after="200" w:line="276" w:lineRule="auto"/>
      <w:ind w:left="720"/>
      <w:contextualSpacing/>
    </w:pPr>
    <w:rPr>
      <w:lang w:val="ro-RO"/>
    </w:rPr>
  </w:style>
  <w:style w:type="character" w:styleId="Hyperlink">
    <w:name w:val="Hyperlink"/>
    <w:basedOn w:val="DefaultParagraphFont"/>
    <w:uiPriority w:val="99"/>
    <w:unhideWhenUsed/>
    <w:rsid w:val="003F43EC"/>
    <w:rPr>
      <w:color w:val="0563C1" w:themeColor="hyperlink"/>
      <w:u w:val="single"/>
    </w:rPr>
  </w:style>
  <w:style w:type="character" w:customStyle="1" w:styleId="cit">
    <w:name w:val="cit"/>
    <w:basedOn w:val="DefaultParagraphFont"/>
    <w:rsid w:val="003F43EC"/>
  </w:style>
  <w:style w:type="paragraph" w:styleId="BalloonText">
    <w:name w:val="Balloon Text"/>
    <w:basedOn w:val="Normal"/>
    <w:link w:val="BalloonTextChar"/>
    <w:uiPriority w:val="99"/>
    <w:semiHidden/>
    <w:unhideWhenUsed/>
    <w:rsid w:val="00847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D5A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3EC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3EC"/>
    <w:pPr>
      <w:spacing w:after="200" w:line="276" w:lineRule="auto"/>
      <w:ind w:left="720"/>
      <w:contextualSpacing/>
    </w:pPr>
    <w:rPr>
      <w:lang w:val="ro-RO"/>
    </w:rPr>
  </w:style>
  <w:style w:type="character" w:styleId="Hyperlink">
    <w:name w:val="Hyperlink"/>
    <w:basedOn w:val="DefaultParagraphFont"/>
    <w:uiPriority w:val="99"/>
    <w:unhideWhenUsed/>
    <w:rsid w:val="003F43EC"/>
    <w:rPr>
      <w:color w:val="0563C1" w:themeColor="hyperlink"/>
      <w:u w:val="single"/>
    </w:rPr>
  </w:style>
  <w:style w:type="character" w:customStyle="1" w:styleId="cit">
    <w:name w:val="cit"/>
    <w:basedOn w:val="DefaultParagraphFont"/>
    <w:rsid w:val="003F43EC"/>
  </w:style>
  <w:style w:type="paragraph" w:styleId="BalloonText">
    <w:name w:val="Balloon Text"/>
    <w:basedOn w:val="Normal"/>
    <w:link w:val="BalloonTextChar"/>
    <w:uiPriority w:val="99"/>
    <w:semiHidden/>
    <w:unhideWhenUsed/>
    <w:rsid w:val="00847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D5A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www.ncbi.nlm.nih.gov/pubmed/?term=Munyoro%20E%5BAuthor%5D&amp;cauthor=true&amp;cauthor_uid=27898287" TargetMode="External"/><Relationship Id="rId18" Type="http://schemas.openxmlformats.org/officeDocument/2006/relationships/hyperlink" Target="https://www.ncbi.nlm.nih.gov/pubmed/?term=Pereira%20J%5BAuthor%5D&amp;cauthor=true&amp;cauthor_uid=21505588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www.ncbi.nlm.nih.gov/pubmed/?term=Brennan%20F%5BAuthor%5D&amp;cauthor=true&amp;cauthor_uid=17482036" TargetMode="External"/><Relationship Id="rId7" Type="http://schemas.openxmlformats.org/officeDocument/2006/relationships/hyperlink" Target="https://www.ncbi.nlm.nih.gov/pubmed/?term=De%20Lima%20L%5BAuthor%5D&amp;cauthor=true&amp;cauthor_uid=27898287" TargetMode="External"/><Relationship Id="rId12" Type="http://schemas.openxmlformats.org/officeDocument/2006/relationships/hyperlink" Target="https://www.ncbi.nlm.nih.gov/pubmed/?term=Buitrago%20R%5BAuthor%5D&amp;cauthor=true&amp;cauthor_uid=27898287" TargetMode="External"/><Relationship Id="rId17" Type="http://schemas.openxmlformats.org/officeDocument/2006/relationships/hyperlink" Target="https://www.ncbi.nlm.nih.gov/pmc/articles/PMC5177996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ncbi.nlm.nih.gov/pubmed/?term=Radbruch%20L%5BAuthor%5D&amp;cauthor=true&amp;cauthor_uid=27898287" TargetMode="External"/><Relationship Id="rId20" Type="http://schemas.openxmlformats.org/officeDocument/2006/relationships/hyperlink" Target="https://www.ncbi.nlm.nih.gov/pmc/articles/PMC307071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apcnet.eu/LinkClick.aspx?fileticket=28Vb6OIn9SQ%3D" TargetMode="External"/><Relationship Id="rId11" Type="http://schemas.openxmlformats.org/officeDocument/2006/relationships/hyperlink" Target="https://www.ncbi.nlm.nih.gov/pubmed/?term=Downing%20J%5BAuthor%5D&amp;cauthor=true&amp;cauthor_uid=27898287" TargetMode="External"/><Relationship Id="rId24" Type="http://schemas.openxmlformats.org/officeDocument/2006/relationships/hyperlink" Target="http://www.cancercontrol.info/wp-content/uploads/2014/08/116-121-Gwyther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cbi.nlm.nih.gov/pubmed/?term=Bhatnagar%20S%5BAuthor%5D&amp;cauthor=true&amp;cauthor_uid=27898287" TargetMode="External"/><Relationship Id="rId23" Type="http://schemas.openxmlformats.org/officeDocument/2006/relationships/hyperlink" Target="http://www.eapcnet.eu/Portals/0/Clinical/Publications/EJPC22%283%29Schmidlin.pdf" TargetMode="External"/><Relationship Id="rId10" Type="http://schemas.openxmlformats.org/officeDocument/2006/relationships/hyperlink" Target="https://www.ncbi.nlm.nih.gov/pubmed/?term=Pettus%20K%5BAuthor%5D&amp;cauthor=true&amp;cauthor_uid=27898287" TargetMode="External"/><Relationship Id="rId19" Type="http://schemas.openxmlformats.org/officeDocument/2006/relationships/hyperlink" Target="https://www.ncbi.nlm.nih.gov/pmc/articles/PMC307071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pubmed/?term=Woodruff%20R%5BAuthor%5D&amp;cauthor=true&amp;cauthor_uid=27898287" TargetMode="External"/><Relationship Id="rId14" Type="http://schemas.openxmlformats.org/officeDocument/2006/relationships/hyperlink" Target="https://www.ncbi.nlm.nih.gov/pubmed/?term=Venkateswaran%20C%5BAuthor%5D&amp;cauthor=true&amp;cauthor_uid=27898287" TargetMode="External"/><Relationship Id="rId22" Type="http://schemas.openxmlformats.org/officeDocument/2006/relationships/hyperlink" Target="https://www.ncbi.nlm.nih.gov/pubmed/174820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843</Words>
  <Characters>4811</Characters>
  <Application>Microsoft Office Word</Application>
  <DocSecurity>0</DocSecurity>
  <Lines>40</Lines>
  <Paragraphs>11</Paragraphs>
  <ScaleCrop>false</ScaleCrop>
  <Company/>
  <LinksUpToDate>false</LinksUpToDate>
  <CharactersWithSpaces>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Stanciulescu</dc:creator>
  <cp:keywords/>
  <dc:description/>
  <cp:lastModifiedBy>Karen Charnley</cp:lastModifiedBy>
  <cp:revision>3</cp:revision>
  <dcterms:created xsi:type="dcterms:W3CDTF">2020-02-17T12:09:00Z</dcterms:created>
  <dcterms:modified xsi:type="dcterms:W3CDTF">2020-02-19T14:18:00Z</dcterms:modified>
</cp:coreProperties>
</file>