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080"/>
      </w:tblGrid>
      <w:tr w:rsidR="0072233E" w:rsidRPr="00676303" w14:paraId="3305C022" w14:textId="77777777" w:rsidTr="005B2359">
        <w:tc>
          <w:tcPr>
            <w:tcW w:w="9493" w:type="dxa"/>
            <w:gridSpan w:val="2"/>
            <w:shd w:val="clear" w:color="auto" w:fill="D9E2F3" w:themeFill="accent1" w:themeFillTint="33"/>
          </w:tcPr>
          <w:p w14:paraId="35DB2420" w14:textId="77777777" w:rsidR="0072233E" w:rsidRPr="00866DD7" w:rsidRDefault="0072233E" w:rsidP="005B2359">
            <w:pPr>
              <w:spacing w:after="0" w:line="20" w:lineRule="atLeast"/>
              <w:jc w:val="center"/>
              <w:rPr>
                <w:rFonts w:asciiTheme="minorHAnsi" w:hAnsiTheme="minorHAnsi" w:cs="Calibri"/>
                <w:b/>
                <w:sz w:val="20"/>
                <w:szCs w:val="20"/>
                <w:lang w:val="en-US"/>
              </w:rPr>
            </w:pPr>
            <w:r w:rsidRPr="00866DD7">
              <w:rPr>
                <w:rFonts w:asciiTheme="minorHAnsi" w:hAnsiTheme="minorHAnsi" w:cs="Calibri"/>
                <w:b/>
                <w:sz w:val="20"/>
                <w:szCs w:val="20"/>
                <w:lang w:val="en-US"/>
              </w:rPr>
              <w:t xml:space="preserve">Lesson Plan </w:t>
            </w:r>
          </w:p>
        </w:tc>
      </w:tr>
      <w:tr w:rsidR="0072233E" w:rsidRPr="00676303" w14:paraId="64CBB51E" w14:textId="77777777" w:rsidTr="005B2359">
        <w:tc>
          <w:tcPr>
            <w:tcW w:w="1413" w:type="dxa"/>
            <w:shd w:val="clear" w:color="auto" w:fill="D9E2F3" w:themeFill="accent1" w:themeFillTint="33"/>
          </w:tcPr>
          <w:p w14:paraId="7EA8B064"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Topic</w:t>
            </w:r>
          </w:p>
        </w:tc>
        <w:tc>
          <w:tcPr>
            <w:tcW w:w="8080" w:type="dxa"/>
            <w:shd w:val="clear" w:color="auto" w:fill="auto"/>
          </w:tcPr>
          <w:p w14:paraId="2883D694" w14:textId="77777777" w:rsidR="0072233E" w:rsidRPr="00676303" w:rsidRDefault="0072233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Basic of palliative care </w:t>
            </w:r>
          </w:p>
        </w:tc>
      </w:tr>
      <w:tr w:rsidR="0072233E" w:rsidRPr="00676303" w14:paraId="4DB54318" w14:textId="77777777" w:rsidTr="005B2359">
        <w:tc>
          <w:tcPr>
            <w:tcW w:w="1413" w:type="dxa"/>
            <w:shd w:val="clear" w:color="auto" w:fill="D9E2F3" w:themeFill="accent1" w:themeFillTint="33"/>
          </w:tcPr>
          <w:p w14:paraId="75F0396E"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8080" w:type="dxa"/>
            <w:shd w:val="clear" w:color="auto" w:fill="auto"/>
          </w:tcPr>
          <w:p w14:paraId="1BD822A1"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Palliative care as an integrated medical discipline</w:t>
            </w:r>
          </w:p>
        </w:tc>
      </w:tr>
      <w:tr w:rsidR="0072233E" w:rsidRPr="00676303" w14:paraId="264A7469" w14:textId="77777777" w:rsidTr="005B2359">
        <w:tc>
          <w:tcPr>
            <w:tcW w:w="1413" w:type="dxa"/>
            <w:shd w:val="clear" w:color="auto" w:fill="D9E2F3" w:themeFill="accent1" w:themeFillTint="33"/>
          </w:tcPr>
          <w:p w14:paraId="3DDBC9EF"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Learning Outcome </w:t>
            </w:r>
          </w:p>
        </w:tc>
        <w:tc>
          <w:tcPr>
            <w:tcW w:w="8080" w:type="dxa"/>
            <w:shd w:val="clear" w:color="auto" w:fill="auto"/>
          </w:tcPr>
          <w:p w14:paraId="33DEA3FA" w14:textId="77777777" w:rsidR="0072233E" w:rsidRPr="00676303" w:rsidRDefault="0072233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Describe and discuss critically the development and practice of palliative care.</w:t>
            </w:r>
          </w:p>
          <w:p w14:paraId="7F45729A" w14:textId="77777777" w:rsidR="0072233E" w:rsidRPr="00676303" w:rsidRDefault="0072233E" w:rsidP="005B2359">
            <w:pPr>
              <w:spacing w:after="0" w:line="20" w:lineRule="atLeast"/>
              <w:rPr>
                <w:rFonts w:asciiTheme="minorHAnsi" w:hAnsiTheme="minorHAnsi" w:cs="Calibri"/>
                <w:sz w:val="20"/>
                <w:szCs w:val="20"/>
                <w:lang w:val="en-US"/>
              </w:rPr>
            </w:pPr>
          </w:p>
        </w:tc>
      </w:tr>
      <w:tr w:rsidR="0072233E" w:rsidRPr="00676303" w14:paraId="694587F4" w14:textId="77777777" w:rsidTr="005B2359">
        <w:tc>
          <w:tcPr>
            <w:tcW w:w="1413" w:type="dxa"/>
            <w:shd w:val="clear" w:color="auto" w:fill="D9E2F3" w:themeFill="accent1" w:themeFillTint="33"/>
          </w:tcPr>
          <w:p w14:paraId="11609A5E"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8080" w:type="dxa"/>
            <w:shd w:val="clear" w:color="auto" w:fill="auto"/>
          </w:tcPr>
          <w:p w14:paraId="420EC0CB" w14:textId="77777777" w:rsidR="0072233E" w:rsidRPr="00676303" w:rsidRDefault="0072233E" w:rsidP="005B2359">
            <w:pPr>
              <w:spacing w:after="0" w:line="20" w:lineRule="atLeast"/>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It is proven that early integrated palliative care in cancer patients’ treatment has just not a beneficial effect on the patient and his/her family by improving the quality of life and survival, but also on the health system by reducing the costs with useless interventions and admissions. Future physicians need to understand importance of interventions aiming the quality of life in parallel with active treatment or increasing of survival; to experience the complexity of specialized palliative care and to apply in their daily work interventions of basic palliative care.</w:t>
            </w:r>
          </w:p>
          <w:p w14:paraId="4B0711DF" w14:textId="77777777" w:rsidR="0072233E" w:rsidRPr="00676303" w:rsidRDefault="0072233E" w:rsidP="005B2359">
            <w:pPr>
              <w:spacing w:after="0" w:line="20" w:lineRule="atLeast"/>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This session prepares the students to discuss various illness trajectories, acknowledge the value of integrating palliative care early in the course of the illness and recognize the challenges of doing so in their own health care systems about palliative care, principles and its beneficiaries.</w:t>
            </w:r>
          </w:p>
        </w:tc>
      </w:tr>
      <w:tr w:rsidR="0072233E" w:rsidRPr="00676303" w14:paraId="347E2E9C" w14:textId="77777777" w:rsidTr="005B2359">
        <w:tc>
          <w:tcPr>
            <w:tcW w:w="1413" w:type="dxa"/>
            <w:shd w:val="clear" w:color="auto" w:fill="D9E2F3" w:themeFill="accent1" w:themeFillTint="33"/>
          </w:tcPr>
          <w:p w14:paraId="2B7D83B8"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0932E8CA"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011930AE"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3E6D2587"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7C458D39" w14:textId="77777777" w:rsidR="0072233E" w:rsidRPr="00676303" w:rsidRDefault="0072233E" w:rsidP="005B2359">
            <w:pPr>
              <w:spacing w:after="0" w:line="20" w:lineRule="atLeast"/>
              <w:rPr>
                <w:rFonts w:asciiTheme="minorHAnsi" w:hAnsiTheme="minorHAnsi" w:cs="Calibri"/>
                <w:b/>
                <w:sz w:val="20"/>
                <w:szCs w:val="20"/>
                <w:lang w:val="en-US"/>
              </w:rPr>
            </w:pPr>
          </w:p>
        </w:tc>
        <w:tc>
          <w:tcPr>
            <w:tcW w:w="8080" w:type="dxa"/>
            <w:shd w:val="clear" w:color="auto" w:fill="auto"/>
          </w:tcPr>
          <w:p w14:paraId="1347BF91" w14:textId="77777777" w:rsidR="0072233E" w:rsidRPr="00676303" w:rsidRDefault="0072233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Cognition:</w:t>
            </w:r>
          </w:p>
          <w:p w14:paraId="428CDAE4" w14:textId="77777777" w:rsidR="0072233E" w:rsidRPr="00676303" w:rsidRDefault="0072233E"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Discuss illness trajectories </w:t>
            </w:r>
          </w:p>
          <w:p w14:paraId="30B64607" w14:textId="77777777" w:rsidR="0072233E" w:rsidRPr="00676303" w:rsidRDefault="0072233E"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Explain how palliative care fits within medicine; public health agenda</w:t>
            </w:r>
          </w:p>
          <w:p w14:paraId="5BA95548" w14:textId="77777777" w:rsidR="0072233E" w:rsidRPr="00676303" w:rsidRDefault="0072233E"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Discuss the challenges within the future development of palliative care at local, national and international levels.</w:t>
            </w:r>
          </w:p>
          <w:p w14:paraId="0A3983BA" w14:textId="77777777" w:rsidR="0072233E" w:rsidRPr="00676303" w:rsidRDefault="0072233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Attitude:</w:t>
            </w:r>
          </w:p>
          <w:p w14:paraId="5B7F1E81" w14:textId="77777777" w:rsidR="0072233E" w:rsidRPr="00676303" w:rsidRDefault="0072233E"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Acknowledge and justify the integration of palliative care in the mainstream medicine.</w:t>
            </w:r>
          </w:p>
          <w:p w14:paraId="36C233F3" w14:textId="77777777" w:rsidR="0072233E" w:rsidRPr="00676303" w:rsidRDefault="0072233E"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Describe the value of integrating palliative care alongside disease modifying therapies (e.g. palliative oncological therapies).</w:t>
            </w:r>
          </w:p>
          <w:p w14:paraId="534FB922" w14:textId="77777777" w:rsidR="0072233E" w:rsidRPr="00676303" w:rsidRDefault="0072233E" w:rsidP="005B2359">
            <w:pPr>
              <w:pStyle w:val="ListParagraph"/>
              <w:numPr>
                <w:ilvl w:val="0"/>
                <w:numId w:val="3"/>
              </w:numPr>
              <w:spacing w:after="0" w:line="20" w:lineRule="atLeast"/>
              <w:rPr>
                <w:rFonts w:asciiTheme="minorHAnsi" w:hAnsiTheme="minorHAnsi" w:cs="Calibri"/>
                <w:sz w:val="20"/>
                <w:szCs w:val="20"/>
                <w:lang w:val="en-US"/>
              </w:rPr>
            </w:pPr>
            <w:proofErr w:type="spellStart"/>
            <w:r w:rsidRPr="00676303">
              <w:rPr>
                <w:rFonts w:eastAsia="Times New Roman" w:cs="Calibri"/>
                <w:color w:val="000000"/>
                <w:sz w:val="20"/>
                <w:szCs w:val="20"/>
                <w:lang w:val="en-US" w:eastAsia="en-GB"/>
              </w:rPr>
              <w:t>Recognise</w:t>
            </w:r>
            <w:proofErr w:type="spellEnd"/>
            <w:r w:rsidRPr="00676303">
              <w:rPr>
                <w:rFonts w:eastAsia="Times New Roman" w:cs="Calibri"/>
                <w:color w:val="000000"/>
                <w:sz w:val="20"/>
                <w:szCs w:val="20"/>
                <w:lang w:val="en-US" w:eastAsia="en-GB"/>
              </w:rPr>
              <w:t xml:space="preserve"> and respect the professional responsibility to care for people with life-limiting conditions, and their families, to ensure comfort and dignity.</w:t>
            </w:r>
          </w:p>
        </w:tc>
      </w:tr>
      <w:tr w:rsidR="0072233E" w:rsidRPr="00676303" w14:paraId="4D77FB52" w14:textId="77777777" w:rsidTr="005B2359">
        <w:tc>
          <w:tcPr>
            <w:tcW w:w="1413" w:type="dxa"/>
            <w:shd w:val="clear" w:color="auto" w:fill="D9E2F3" w:themeFill="accent1" w:themeFillTint="33"/>
          </w:tcPr>
          <w:p w14:paraId="67CEE7AB"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8080" w:type="dxa"/>
            <w:shd w:val="clear" w:color="auto" w:fill="auto"/>
          </w:tcPr>
          <w:p w14:paraId="079A7287" w14:textId="77777777" w:rsidR="0072233E" w:rsidRPr="00676303" w:rsidRDefault="0072233E" w:rsidP="005B2359">
            <w:pPr>
              <w:pStyle w:val="ListParagraph"/>
              <w:numPr>
                <w:ilvl w:val="0"/>
                <w:numId w:val="5"/>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Online course</w:t>
            </w:r>
          </w:p>
          <w:p w14:paraId="4B284BA1" w14:textId="77777777" w:rsidR="0072233E" w:rsidRPr="00676303" w:rsidRDefault="0072233E" w:rsidP="005B2359">
            <w:pPr>
              <w:pStyle w:val="ListParagraph"/>
              <w:numPr>
                <w:ilvl w:val="0"/>
                <w:numId w:val="5"/>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Video discussion</w:t>
            </w:r>
          </w:p>
          <w:p w14:paraId="63EA4E3B" w14:textId="77777777" w:rsidR="0072233E" w:rsidRPr="00676303" w:rsidRDefault="0072233E" w:rsidP="005B2359">
            <w:pPr>
              <w:pStyle w:val="ListParagraph"/>
              <w:numPr>
                <w:ilvl w:val="0"/>
                <w:numId w:val="5"/>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Scenarios</w:t>
            </w:r>
          </w:p>
          <w:p w14:paraId="2EC8191B" w14:textId="77777777" w:rsidR="0072233E" w:rsidRPr="00676303" w:rsidRDefault="0072233E" w:rsidP="005B2359">
            <w:pPr>
              <w:pStyle w:val="ListParagraph"/>
              <w:numPr>
                <w:ilvl w:val="0"/>
                <w:numId w:val="5"/>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Small group work </w:t>
            </w:r>
          </w:p>
        </w:tc>
      </w:tr>
      <w:tr w:rsidR="0072233E" w:rsidRPr="00676303" w14:paraId="47AE0B55" w14:textId="77777777" w:rsidTr="005B2359">
        <w:tc>
          <w:tcPr>
            <w:tcW w:w="1413" w:type="dxa"/>
            <w:shd w:val="clear" w:color="auto" w:fill="D9E2F3" w:themeFill="accent1" w:themeFillTint="33"/>
          </w:tcPr>
          <w:p w14:paraId="0EF162D1"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8080" w:type="dxa"/>
            <w:shd w:val="clear" w:color="auto" w:fill="auto"/>
          </w:tcPr>
          <w:p w14:paraId="5D68A039" w14:textId="77777777" w:rsidR="0072233E" w:rsidRPr="00676303" w:rsidRDefault="0072233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1 hour online + 30 minutes seminar/ field visit services </w:t>
            </w:r>
          </w:p>
          <w:p w14:paraId="11D7A2AC" w14:textId="77777777" w:rsidR="0072233E" w:rsidRPr="00676303" w:rsidRDefault="0072233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Video Illness trajectories discussed -10 min </w:t>
            </w:r>
          </w:p>
          <w:p w14:paraId="18884C8C" w14:textId="77777777" w:rsidR="0072233E" w:rsidRPr="00676303" w:rsidRDefault="0072233E"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Small - Group work: </w:t>
            </w:r>
          </w:p>
          <w:p w14:paraId="3FED42D8" w14:textId="77777777" w:rsidR="0072233E" w:rsidRPr="00676303" w:rsidRDefault="0072233E" w:rsidP="005B2359">
            <w:pPr>
              <w:pStyle w:val="ListParagraph"/>
              <w:numPr>
                <w:ilvl w:val="0"/>
                <w:numId w:val="6"/>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values integrate PC alongside other therapies in a given situation – 2 groups on a given scenario</w:t>
            </w:r>
          </w:p>
          <w:p w14:paraId="0C2A23DA" w14:textId="475253BE" w:rsidR="0072233E" w:rsidRPr="00676303" w:rsidRDefault="0072233E" w:rsidP="005B2359">
            <w:pPr>
              <w:pStyle w:val="ListParagraph"/>
              <w:numPr>
                <w:ilvl w:val="0"/>
                <w:numId w:val="6"/>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Challenges for development of palliative care in their settings/national level – 2 groups </w:t>
            </w:r>
          </w:p>
        </w:tc>
      </w:tr>
      <w:tr w:rsidR="0072233E" w:rsidRPr="00676303" w14:paraId="53C23F20" w14:textId="77777777" w:rsidTr="005B2359">
        <w:tc>
          <w:tcPr>
            <w:tcW w:w="1413" w:type="dxa"/>
            <w:shd w:val="clear" w:color="auto" w:fill="D9E2F3" w:themeFill="accent1" w:themeFillTint="33"/>
          </w:tcPr>
          <w:p w14:paraId="7AF58B00" w14:textId="77777777" w:rsidR="0072233E" w:rsidRPr="00676303" w:rsidRDefault="0072233E"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Bibliography/Resources </w:t>
            </w:r>
          </w:p>
        </w:tc>
        <w:tc>
          <w:tcPr>
            <w:tcW w:w="8080" w:type="dxa"/>
            <w:shd w:val="clear" w:color="auto" w:fill="auto"/>
          </w:tcPr>
          <w:p w14:paraId="38E27803" w14:textId="3AD280AB" w:rsidR="0072233E" w:rsidRPr="00676303" w:rsidRDefault="0072233E"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sz w:val="20"/>
                <w:szCs w:val="20"/>
                <w:lang w:val="en-US"/>
              </w:rPr>
              <w:t xml:space="preserve">Scott Murray </w:t>
            </w:r>
            <w:r>
              <w:rPr>
                <w:rFonts w:asciiTheme="minorHAnsi" w:hAnsiTheme="minorHAnsi"/>
                <w:sz w:val="20"/>
                <w:szCs w:val="20"/>
                <w:lang w:val="en-US"/>
              </w:rPr>
              <w:t>Il</w:t>
            </w:r>
            <w:r w:rsidRPr="00676303">
              <w:rPr>
                <w:rFonts w:asciiTheme="minorHAnsi" w:hAnsiTheme="minorHAnsi"/>
                <w:sz w:val="20"/>
                <w:szCs w:val="20"/>
                <w:lang w:val="en-US"/>
              </w:rPr>
              <w:t xml:space="preserve">lness trajectories </w:t>
            </w:r>
            <w:hyperlink r:id="rId6" w:history="1">
              <w:r w:rsidRPr="00676303">
                <w:rPr>
                  <w:rStyle w:val="Hyperlink"/>
                  <w:rFonts w:asciiTheme="minorHAnsi" w:hAnsiTheme="minorHAnsi" w:cs="Calibri"/>
                  <w:sz w:val="20"/>
                  <w:szCs w:val="20"/>
                  <w:lang w:val="en-US"/>
                </w:rPr>
                <w:t>https://www.youtube.com/watch?v=vS7ueV0ui5U</w:t>
              </w:r>
            </w:hyperlink>
            <w:r w:rsidRPr="00676303">
              <w:rPr>
                <w:rFonts w:asciiTheme="minorHAnsi" w:hAnsiTheme="minorHAnsi" w:cs="Calibri"/>
                <w:sz w:val="20"/>
                <w:szCs w:val="20"/>
                <w:lang w:val="en-US"/>
              </w:rPr>
              <w:t xml:space="preserve"> </w:t>
            </w:r>
            <w:r w:rsidRPr="00676303">
              <w:rPr>
                <w:rFonts w:asciiTheme="minorHAnsi" w:hAnsiTheme="minorHAnsi"/>
                <w:sz w:val="20"/>
                <w:szCs w:val="20"/>
                <w:lang w:val="en-US"/>
              </w:rPr>
              <w:t xml:space="preserve"> </w:t>
            </w:r>
            <w:hyperlink r:id="rId7" w:history="1">
              <w:r w:rsidRPr="00676303">
                <w:rPr>
                  <w:rStyle w:val="Hyperlink"/>
                  <w:rFonts w:asciiTheme="minorHAnsi" w:hAnsiTheme="minorHAnsi" w:cs="Calibri"/>
                  <w:sz w:val="20"/>
                  <w:szCs w:val="20"/>
                  <w:lang w:val="en-US"/>
                </w:rPr>
                <w:t>http://www.uq.edu.au/primarypallcare/documents/Concept%20of%20Trajections%20Scott%20Murray%200610.pdf</w:t>
              </w:r>
            </w:hyperlink>
            <w:r w:rsidRPr="00676303">
              <w:rPr>
                <w:rStyle w:val="Hyperlink"/>
                <w:rFonts w:asciiTheme="minorHAnsi" w:hAnsiTheme="minorHAnsi" w:cs="Calibri"/>
                <w:sz w:val="20"/>
                <w:szCs w:val="20"/>
                <w:lang w:val="en-US"/>
              </w:rPr>
              <w:t xml:space="preserve"> </w:t>
            </w:r>
            <w:hyperlink r:id="rId8" w:history="1">
              <w:r w:rsidRPr="00676303">
                <w:rPr>
                  <w:rStyle w:val="Hyperlink"/>
                  <w:rFonts w:asciiTheme="minorHAnsi" w:hAnsiTheme="minorHAnsi" w:cs="Calibri"/>
                  <w:sz w:val="20"/>
                  <w:szCs w:val="20"/>
                  <w:lang w:val="en-US"/>
                </w:rPr>
                <w:t>https://www.ed.ac.uk/files/atoms/files/demography_of_death_and_dying.pdf</w:t>
              </w:r>
            </w:hyperlink>
            <w:r w:rsidRPr="00676303">
              <w:rPr>
                <w:rFonts w:asciiTheme="minorHAnsi" w:hAnsiTheme="minorHAnsi" w:cs="Calibri"/>
                <w:sz w:val="20"/>
                <w:szCs w:val="20"/>
                <w:lang w:val="en-US"/>
              </w:rPr>
              <w:t xml:space="preserve"> </w:t>
            </w:r>
          </w:p>
          <w:p w14:paraId="6322CC0D" w14:textId="77777777" w:rsidR="0072233E" w:rsidRPr="00676303" w:rsidRDefault="00866DD7" w:rsidP="005B2359">
            <w:pPr>
              <w:pStyle w:val="ListParagraph"/>
              <w:numPr>
                <w:ilvl w:val="0"/>
                <w:numId w:val="2"/>
              </w:numPr>
              <w:spacing w:after="0" w:line="20" w:lineRule="atLeast"/>
              <w:rPr>
                <w:rFonts w:asciiTheme="minorHAnsi" w:hAnsiTheme="minorHAnsi" w:cs="Calibri"/>
                <w:sz w:val="20"/>
                <w:szCs w:val="20"/>
                <w:lang w:val="en-US"/>
              </w:rPr>
            </w:pPr>
            <w:hyperlink r:id="rId9" w:history="1">
              <w:r w:rsidR="0072233E" w:rsidRPr="00676303">
                <w:rPr>
                  <w:rFonts w:asciiTheme="minorHAnsi" w:hAnsiTheme="minorHAnsi"/>
                  <w:sz w:val="20"/>
                  <w:szCs w:val="20"/>
                  <w:lang w:val="en-US"/>
                </w:rPr>
                <w:t>David Hui</w:t>
              </w:r>
            </w:hyperlink>
            <w:r w:rsidR="0072233E" w:rsidRPr="00676303">
              <w:rPr>
                <w:rFonts w:asciiTheme="minorHAnsi" w:hAnsiTheme="minorHAnsi"/>
                <w:sz w:val="20"/>
                <w:szCs w:val="20"/>
                <w:lang w:val="en-US"/>
              </w:rPr>
              <w:t xml:space="preserve"> and </w:t>
            </w:r>
            <w:hyperlink r:id="rId10" w:history="1">
              <w:r w:rsidR="0072233E" w:rsidRPr="00676303">
                <w:rPr>
                  <w:rFonts w:asciiTheme="minorHAnsi" w:hAnsiTheme="minorHAnsi"/>
                  <w:sz w:val="20"/>
                  <w:szCs w:val="20"/>
                  <w:lang w:val="en-US"/>
                </w:rPr>
                <w:t xml:space="preserve">Eduardo </w:t>
              </w:r>
              <w:proofErr w:type="spellStart"/>
              <w:r w:rsidR="0072233E" w:rsidRPr="00676303">
                <w:rPr>
                  <w:rFonts w:asciiTheme="minorHAnsi" w:hAnsiTheme="minorHAnsi"/>
                  <w:sz w:val="20"/>
                  <w:szCs w:val="20"/>
                  <w:lang w:val="en-US"/>
                </w:rPr>
                <w:t>Bruera</w:t>
              </w:r>
              <w:proofErr w:type="spellEnd"/>
            </w:hyperlink>
            <w:r w:rsidR="0072233E" w:rsidRPr="00676303">
              <w:rPr>
                <w:rFonts w:asciiTheme="minorHAnsi" w:hAnsiTheme="minorHAnsi"/>
                <w:sz w:val="20"/>
                <w:szCs w:val="20"/>
                <w:lang w:val="en-US"/>
              </w:rPr>
              <w:t xml:space="preserve">; </w:t>
            </w:r>
            <w:r w:rsidR="0072233E" w:rsidRPr="00676303">
              <w:rPr>
                <w:rFonts w:asciiTheme="minorHAnsi" w:hAnsiTheme="minorHAnsi"/>
                <w:bCs/>
                <w:sz w:val="20"/>
                <w:szCs w:val="20"/>
                <w:lang w:val="en-US"/>
              </w:rPr>
              <w:t xml:space="preserve"> Integrating palliative care into the trajectory of cancer care</w:t>
            </w:r>
            <w:hyperlink r:id="rId11" w:history="1">
              <w:r w:rsidR="0072233E" w:rsidRPr="00676303">
                <w:rPr>
                  <w:rStyle w:val="Hyperlink"/>
                  <w:rFonts w:asciiTheme="minorHAnsi" w:hAnsiTheme="minorHAnsi" w:cs="Calibri"/>
                  <w:sz w:val="20"/>
                  <w:szCs w:val="20"/>
                  <w:lang w:val="en-US"/>
                </w:rPr>
                <w:t>https://www.ncbi.nlm.nih.gov/pmc/articles/PMC4772864/</w:t>
              </w:r>
            </w:hyperlink>
            <w:r w:rsidR="0072233E" w:rsidRPr="00676303">
              <w:rPr>
                <w:rFonts w:asciiTheme="minorHAnsi" w:hAnsiTheme="minorHAnsi" w:cs="Calibri"/>
                <w:sz w:val="20"/>
                <w:szCs w:val="20"/>
                <w:lang w:val="en-US"/>
              </w:rPr>
              <w:t xml:space="preserve"> </w:t>
            </w:r>
          </w:p>
          <w:p w14:paraId="48FAFB12" w14:textId="77777777" w:rsidR="0072233E" w:rsidRPr="00676303" w:rsidRDefault="0072233E" w:rsidP="005B2359">
            <w:pPr>
              <w:pStyle w:val="ListParagraph"/>
              <w:numPr>
                <w:ilvl w:val="0"/>
                <w:numId w:val="2"/>
              </w:numPr>
              <w:autoSpaceDE w:val="0"/>
              <w:autoSpaceDN w:val="0"/>
              <w:adjustRightInd w:val="0"/>
              <w:spacing w:after="0" w:line="20" w:lineRule="atLeast"/>
              <w:rPr>
                <w:rFonts w:asciiTheme="minorHAnsi" w:hAnsiTheme="minorHAnsi"/>
                <w:sz w:val="20"/>
                <w:szCs w:val="20"/>
                <w:lang w:val="en-US"/>
              </w:rPr>
            </w:pPr>
            <w:r w:rsidRPr="00676303">
              <w:rPr>
                <w:rFonts w:asciiTheme="minorHAnsi" w:hAnsiTheme="minorHAnsi"/>
                <w:sz w:val="20"/>
                <w:szCs w:val="20"/>
                <w:lang w:val="en-US"/>
              </w:rPr>
              <w:t xml:space="preserve">Eduardo </w:t>
            </w:r>
            <w:proofErr w:type="spellStart"/>
            <w:r w:rsidRPr="00676303">
              <w:rPr>
                <w:rFonts w:asciiTheme="minorHAnsi" w:hAnsiTheme="minorHAnsi"/>
                <w:sz w:val="20"/>
                <w:szCs w:val="20"/>
                <w:lang w:val="en-US"/>
              </w:rPr>
              <w:t>Bruera</w:t>
            </w:r>
            <w:proofErr w:type="spellEnd"/>
            <w:r w:rsidRPr="00676303">
              <w:rPr>
                <w:rFonts w:asciiTheme="minorHAnsi" w:hAnsiTheme="minorHAnsi"/>
                <w:sz w:val="20"/>
                <w:szCs w:val="20"/>
                <w:lang w:val="en-US"/>
              </w:rPr>
              <w:t xml:space="preserve"> and David Hui Integrating Supportive and Palliative Care in the Trajectory of Cancer: Establishing Goals and Models of Care </w:t>
            </w:r>
            <w:hyperlink r:id="rId12" w:history="1">
              <w:r w:rsidRPr="00676303">
                <w:rPr>
                  <w:rStyle w:val="Hyperlink"/>
                  <w:rFonts w:asciiTheme="minorHAnsi" w:hAnsiTheme="minorHAnsi" w:cs="Calibri"/>
                  <w:sz w:val="20"/>
                  <w:szCs w:val="20"/>
                  <w:lang w:val="en-US"/>
                </w:rPr>
                <w:t>https://pdfs.semanticscholar.org/7d80/44f05bedd7d2a03f1ce51d9ddf3fa2354dc3.pdf</w:t>
              </w:r>
            </w:hyperlink>
            <w:r w:rsidRPr="00676303">
              <w:rPr>
                <w:rFonts w:asciiTheme="minorHAnsi" w:hAnsiTheme="minorHAnsi" w:cs="Calibri"/>
                <w:sz w:val="20"/>
                <w:szCs w:val="20"/>
                <w:lang w:val="en-US"/>
              </w:rPr>
              <w:t xml:space="preserve"> </w:t>
            </w:r>
          </w:p>
          <w:p w14:paraId="5F7EAE0A" w14:textId="77777777" w:rsidR="0072233E" w:rsidRPr="00676303" w:rsidRDefault="00866DD7" w:rsidP="005B2359">
            <w:pPr>
              <w:pStyle w:val="ListParagraph"/>
              <w:numPr>
                <w:ilvl w:val="0"/>
                <w:numId w:val="2"/>
              </w:numPr>
              <w:spacing w:after="0" w:line="20" w:lineRule="atLeast"/>
              <w:rPr>
                <w:rFonts w:asciiTheme="minorHAnsi" w:hAnsiTheme="minorHAnsi" w:cs="Calibri"/>
                <w:sz w:val="20"/>
                <w:szCs w:val="20"/>
                <w:lang w:val="en-US"/>
              </w:rPr>
            </w:pPr>
            <w:hyperlink r:id="rId13" w:history="1">
              <w:r w:rsidR="0072233E" w:rsidRPr="00676303">
                <w:rPr>
                  <w:rFonts w:asciiTheme="minorHAnsi" w:hAnsiTheme="minorHAnsi"/>
                  <w:sz w:val="20"/>
                  <w:szCs w:val="20"/>
                  <w:lang w:val="en-US"/>
                </w:rPr>
                <w:t>Laura Finn</w:t>
              </w:r>
            </w:hyperlink>
            <w:r w:rsidR="0072233E" w:rsidRPr="00676303">
              <w:rPr>
                <w:rFonts w:asciiTheme="minorHAnsi" w:hAnsiTheme="minorHAnsi"/>
                <w:sz w:val="20"/>
                <w:szCs w:val="20"/>
                <w:lang w:val="en-US"/>
              </w:rPr>
              <w:t>, MD,</w:t>
            </w:r>
            <w:r w:rsidR="0072233E" w:rsidRPr="00676303">
              <w:rPr>
                <w:rFonts w:asciiTheme="minorHAnsi" w:hAnsiTheme="minorHAnsi"/>
                <w:noProof/>
                <w:sz w:val="20"/>
                <w:szCs w:val="20"/>
                <w:lang w:val="en-IE" w:eastAsia="en-IE"/>
              </w:rPr>
              <w:drawing>
                <wp:inline distT="0" distB="0" distL="0" distR="0" wp14:anchorId="5DFC8C49" wp14:editId="3C9EA84F">
                  <wp:extent cx="66675" cy="85725"/>
                  <wp:effectExtent l="19050" t="0" r="9525" b="0"/>
                  <wp:docPr id="4" name="Picture 1" descr="corresponding 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responding author"/>
                          <pic:cNvPicPr>
                            <a:picLocks noChangeAspect="1" noChangeArrowheads="1"/>
                          </pic:cNvPicPr>
                        </pic:nvPicPr>
                        <pic:blipFill>
                          <a:blip r:embed="rId14" cstate="print"/>
                          <a:srcRect/>
                          <a:stretch>
                            <a:fillRect/>
                          </a:stretch>
                        </pic:blipFill>
                        <pic:spPr bwMode="auto">
                          <a:xfrm>
                            <a:off x="0" y="0"/>
                            <a:ext cx="66675" cy="85725"/>
                          </a:xfrm>
                          <a:prstGeom prst="rect">
                            <a:avLst/>
                          </a:prstGeom>
                          <a:noFill/>
                          <a:ln w="9525">
                            <a:noFill/>
                            <a:miter lim="800000"/>
                            <a:headEnd/>
                            <a:tailEnd/>
                          </a:ln>
                        </pic:spPr>
                      </pic:pic>
                    </a:graphicData>
                  </a:graphic>
                </wp:inline>
              </w:drawing>
            </w:r>
            <w:r w:rsidR="0072233E" w:rsidRPr="00676303">
              <w:rPr>
                <w:rFonts w:asciiTheme="minorHAnsi" w:hAnsiTheme="minorHAnsi"/>
                <w:sz w:val="20"/>
                <w:szCs w:val="20"/>
                <w:lang w:val="en-US"/>
              </w:rPr>
              <w:t xml:space="preserve">1 </w:t>
            </w:r>
            <w:hyperlink r:id="rId15" w:history="1">
              <w:r w:rsidR="0072233E" w:rsidRPr="00676303">
                <w:rPr>
                  <w:rFonts w:asciiTheme="minorHAnsi" w:hAnsiTheme="minorHAnsi"/>
                  <w:sz w:val="20"/>
                  <w:szCs w:val="20"/>
                  <w:lang w:val="en-US"/>
                </w:rPr>
                <w:t>Alva Roche Green</w:t>
              </w:r>
            </w:hyperlink>
            <w:r w:rsidR="0072233E" w:rsidRPr="00676303">
              <w:rPr>
                <w:rFonts w:asciiTheme="minorHAnsi" w:hAnsiTheme="minorHAnsi"/>
                <w:sz w:val="20"/>
                <w:szCs w:val="20"/>
                <w:lang w:val="en-US"/>
              </w:rPr>
              <w:t xml:space="preserve">, MD,2 and </w:t>
            </w:r>
            <w:hyperlink r:id="rId16" w:history="1">
              <w:r w:rsidR="0072233E" w:rsidRPr="00676303">
                <w:rPr>
                  <w:rFonts w:asciiTheme="minorHAnsi" w:hAnsiTheme="minorHAnsi"/>
                  <w:sz w:val="20"/>
                  <w:szCs w:val="20"/>
                  <w:lang w:val="en-US"/>
                </w:rPr>
                <w:t>Sonia Malhotra</w:t>
              </w:r>
            </w:hyperlink>
            <w:r w:rsidR="0072233E" w:rsidRPr="00676303">
              <w:rPr>
                <w:rFonts w:asciiTheme="minorHAnsi" w:hAnsiTheme="minorHAnsi"/>
                <w:sz w:val="20"/>
                <w:szCs w:val="20"/>
                <w:lang w:val="en-US"/>
              </w:rPr>
              <w:t xml:space="preserve"> </w:t>
            </w:r>
            <w:r w:rsidR="0072233E" w:rsidRPr="00676303">
              <w:rPr>
                <w:rFonts w:asciiTheme="minorHAnsi" w:hAnsiTheme="minorHAnsi"/>
                <w:bCs/>
                <w:sz w:val="20"/>
                <w:szCs w:val="20"/>
                <w:lang w:val="en-US"/>
              </w:rPr>
              <w:t>Oncology and Palliative Medicine: Providing Comprehensive Care for Patients With Cancer</w:t>
            </w:r>
            <w:hyperlink r:id="rId17" w:history="1">
              <w:r w:rsidR="0072233E" w:rsidRPr="00676303">
                <w:rPr>
                  <w:rStyle w:val="Hyperlink"/>
                  <w:rFonts w:asciiTheme="minorHAnsi" w:hAnsiTheme="minorHAnsi" w:cs="Calibri"/>
                  <w:sz w:val="20"/>
                  <w:szCs w:val="20"/>
                  <w:lang w:val="en-US"/>
                </w:rPr>
                <w:t>https://www.ncbi.nlm.nih.gov/pmc/articles/PMC5718452/</w:t>
              </w:r>
            </w:hyperlink>
          </w:p>
          <w:p w14:paraId="19E7A0EF" w14:textId="77777777" w:rsidR="0072233E" w:rsidRPr="00676303" w:rsidRDefault="0072233E" w:rsidP="005B2359">
            <w:pPr>
              <w:pStyle w:val="ListParagraph"/>
              <w:numPr>
                <w:ilvl w:val="0"/>
                <w:numId w:val="1"/>
              </w:numPr>
              <w:spacing w:after="0" w:line="20" w:lineRule="atLeast"/>
              <w:rPr>
                <w:rFonts w:asciiTheme="minorHAnsi" w:hAnsiTheme="minorHAnsi"/>
                <w:sz w:val="20"/>
                <w:szCs w:val="20"/>
                <w:lang w:val="en-US"/>
              </w:rPr>
            </w:pPr>
            <w:r w:rsidRPr="00676303">
              <w:rPr>
                <w:rFonts w:asciiTheme="minorHAnsi" w:hAnsiTheme="minorHAnsi" w:cstheme="minorHAnsi"/>
                <w:sz w:val="20"/>
                <w:szCs w:val="20"/>
                <w:lang w:val="en-US"/>
              </w:rPr>
              <w:t xml:space="preserve">Quality of Death Index Report, </w:t>
            </w:r>
            <w:hyperlink r:id="rId18" w:history="1">
              <w:r w:rsidRPr="00676303">
                <w:rPr>
                  <w:rStyle w:val="Hyperlink"/>
                  <w:rFonts w:asciiTheme="minorHAnsi" w:hAnsiTheme="minorHAnsi" w:cstheme="minorHAnsi"/>
                  <w:sz w:val="20"/>
                  <w:szCs w:val="20"/>
                  <w:lang w:val="en-US"/>
                </w:rPr>
                <w:t>http://graphics.eiu.com/upload/eb/qualityofdeath.pdf</w:t>
              </w:r>
            </w:hyperlink>
            <w:r w:rsidRPr="00676303">
              <w:rPr>
                <w:rFonts w:asciiTheme="minorHAnsi" w:hAnsiTheme="minorHAnsi"/>
                <w:sz w:val="20"/>
                <w:szCs w:val="20"/>
                <w:lang w:val="en-US"/>
              </w:rPr>
              <w:t xml:space="preserve"> </w:t>
            </w:r>
          </w:p>
          <w:p w14:paraId="6615A87E" w14:textId="77777777" w:rsidR="0072233E" w:rsidRPr="00676303" w:rsidRDefault="0072233E" w:rsidP="005B2359">
            <w:pPr>
              <w:pStyle w:val="ListParagraph"/>
              <w:numPr>
                <w:ilvl w:val="0"/>
                <w:numId w:val="1"/>
              </w:numPr>
              <w:shd w:val="clear" w:color="auto" w:fill="FFFFFF"/>
              <w:spacing w:after="0" w:line="20" w:lineRule="atLeast"/>
              <w:rPr>
                <w:rFonts w:asciiTheme="minorHAnsi" w:hAnsiTheme="minorHAnsi"/>
                <w:sz w:val="20"/>
                <w:szCs w:val="20"/>
                <w:lang w:val="en-US"/>
              </w:rPr>
            </w:pPr>
            <w:r w:rsidRPr="00676303">
              <w:rPr>
                <w:rFonts w:asciiTheme="minorHAnsi" w:hAnsiTheme="minorHAnsi"/>
                <w:sz w:val="20"/>
                <w:szCs w:val="20"/>
                <w:lang w:val="en-US"/>
              </w:rPr>
              <w:t>Finn L, Green AR, Malhotra S</w:t>
            </w:r>
            <w:r w:rsidRPr="00676303">
              <w:rPr>
                <w:rFonts w:asciiTheme="minorHAnsi" w:eastAsia="Times New Roman" w:hAnsiTheme="minorHAnsi" w:cs="Arial"/>
                <w:sz w:val="20"/>
                <w:szCs w:val="20"/>
                <w:lang w:val="en-US"/>
              </w:rPr>
              <w:t xml:space="preserve">.- </w:t>
            </w:r>
            <w:hyperlink r:id="rId19" w:history="1">
              <w:r w:rsidRPr="00676303">
                <w:rPr>
                  <w:rFonts w:asciiTheme="minorHAnsi" w:eastAsia="Times New Roman" w:hAnsiTheme="minorHAnsi" w:cs="Arial"/>
                  <w:color w:val="2222CC"/>
                  <w:sz w:val="20"/>
                  <w:szCs w:val="20"/>
                  <w:u w:val="single"/>
                  <w:lang w:val="en-US"/>
                </w:rPr>
                <w:t>Oncology and Palliative Medicine: Providing Comprehensive Care for Patients With Cancer.</w:t>
              </w:r>
            </w:hyperlink>
            <w:r w:rsidRPr="00676303">
              <w:rPr>
                <w:rFonts w:asciiTheme="minorHAnsi" w:eastAsia="Times New Roman" w:hAnsiTheme="minorHAnsi" w:cs="Arial"/>
                <w:sz w:val="20"/>
                <w:szCs w:val="20"/>
                <w:lang w:val="en-US"/>
              </w:rPr>
              <w:t xml:space="preserve"> </w:t>
            </w:r>
            <w:r w:rsidRPr="00676303">
              <w:rPr>
                <w:rFonts w:asciiTheme="minorHAnsi" w:hAnsiTheme="minorHAnsi"/>
                <w:sz w:val="20"/>
                <w:szCs w:val="20"/>
                <w:lang w:val="en-US"/>
              </w:rPr>
              <w:t xml:space="preserve">Ochsner J. 2017 Winter;17(4):393-397. </w:t>
            </w:r>
          </w:p>
          <w:p w14:paraId="67EDE866" w14:textId="77777777" w:rsidR="0072233E" w:rsidRPr="00676303" w:rsidRDefault="0072233E" w:rsidP="005B2359">
            <w:pPr>
              <w:pStyle w:val="ListParagraph"/>
              <w:numPr>
                <w:ilvl w:val="0"/>
                <w:numId w:val="1"/>
              </w:numPr>
              <w:shd w:val="clear" w:color="auto" w:fill="FFFFFF"/>
              <w:spacing w:after="0" w:line="20" w:lineRule="atLeast"/>
              <w:rPr>
                <w:rFonts w:asciiTheme="minorHAnsi" w:hAnsiTheme="minorHAnsi"/>
                <w:sz w:val="20"/>
                <w:szCs w:val="20"/>
                <w:lang w:val="en-US"/>
              </w:rPr>
            </w:pPr>
            <w:r w:rsidRPr="00676303">
              <w:rPr>
                <w:rFonts w:asciiTheme="minorHAnsi" w:hAnsiTheme="minorHAnsi"/>
                <w:sz w:val="20"/>
                <w:szCs w:val="20"/>
                <w:lang w:val="en-US"/>
              </w:rPr>
              <w:t xml:space="preserve">Kain DA, Eisenhauer EA.- </w:t>
            </w:r>
            <w:hyperlink r:id="rId20" w:history="1">
              <w:r w:rsidRPr="00676303">
                <w:rPr>
                  <w:rFonts w:asciiTheme="minorHAnsi" w:eastAsia="Times New Roman" w:hAnsiTheme="minorHAnsi" w:cs="Arial"/>
                  <w:color w:val="2222CC"/>
                  <w:sz w:val="20"/>
                  <w:szCs w:val="20"/>
                  <w:u w:val="single"/>
                  <w:lang w:val="en-US"/>
                </w:rPr>
                <w:t xml:space="preserve">Early integration of palliative care into standard oncology care: evidence and overcoming barriers to </w:t>
              </w:r>
              <w:proofErr w:type="spellStart"/>
              <w:r w:rsidRPr="00676303">
                <w:rPr>
                  <w:rFonts w:asciiTheme="minorHAnsi" w:eastAsia="Times New Roman" w:hAnsiTheme="minorHAnsi" w:cs="Arial"/>
                  <w:color w:val="2222CC"/>
                  <w:sz w:val="20"/>
                  <w:szCs w:val="20"/>
                  <w:u w:val="single"/>
                  <w:lang w:val="en-US"/>
                </w:rPr>
                <w:t>implementation.</w:t>
              </w:r>
            </w:hyperlink>
            <w:r w:rsidRPr="00676303">
              <w:rPr>
                <w:rFonts w:asciiTheme="minorHAnsi" w:hAnsiTheme="minorHAnsi"/>
                <w:sz w:val="20"/>
                <w:szCs w:val="20"/>
                <w:lang w:val="en-US"/>
              </w:rPr>
              <w:t>Curr</w:t>
            </w:r>
            <w:proofErr w:type="spellEnd"/>
            <w:r w:rsidRPr="00676303">
              <w:rPr>
                <w:rFonts w:asciiTheme="minorHAnsi" w:hAnsiTheme="minorHAnsi"/>
                <w:sz w:val="20"/>
                <w:szCs w:val="20"/>
                <w:lang w:val="en-US"/>
              </w:rPr>
              <w:t xml:space="preserve"> </w:t>
            </w:r>
            <w:proofErr w:type="spellStart"/>
            <w:r w:rsidRPr="00676303">
              <w:rPr>
                <w:rFonts w:asciiTheme="minorHAnsi" w:hAnsiTheme="minorHAnsi"/>
                <w:sz w:val="20"/>
                <w:szCs w:val="20"/>
                <w:lang w:val="en-US"/>
              </w:rPr>
              <w:t>Oncol</w:t>
            </w:r>
            <w:proofErr w:type="spellEnd"/>
            <w:r w:rsidRPr="00676303">
              <w:rPr>
                <w:rFonts w:asciiTheme="minorHAnsi" w:hAnsiTheme="minorHAnsi"/>
                <w:sz w:val="20"/>
                <w:szCs w:val="20"/>
                <w:lang w:val="en-US"/>
              </w:rPr>
              <w:t xml:space="preserve">. 2016 </w:t>
            </w:r>
            <w:r w:rsidRPr="00676303">
              <w:rPr>
                <w:rFonts w:asciiTheme="minorHAnsi" w:hAnsiTheme="minorHAnsi"/>
                <w:sz w:val="20"/>
                <w:szCs w:val="20"/>
                <w:lang w:val="en-US"/>
              </w:rPr>
              <w:lastRenderedPageBreak/>
              <w:t xml:space="preserve">Dec;23(6):374-377 </w:t>
            </w:r>
          </w:p>
          <w:p w14:paraId="0869893B" w14:textId="55A51E9B" w:rsidR="0072233E" w:rsidRPr="00866DD7" w:rsidRDefault="0072233E" w:rsidP="005B2359">
            <w:pPr>
              <w:pStyle w:val="ListParagraph"/>
              <w:numPr>
                <w:ilvl w:val="0"/>
                <w:numId w:val="1"/>
              </w:numPr>
              <w:shd w:val="clear" w:color="auto" w:fill="FFFFFF"/>
              <w:spacing w:after="0" w:line="20" w:lineRule="atLeast"/>
              <w:rPr>
                <w:rFonts w:asciiTheme="minorHAnsi" w:hAnsiTheme="minorHAnsi"/>
                <w:sz w:val="20"/>
                <w:szCs w:val="20"/>
                <w:lang w:val="en-US"/>
              </w:rPr>
            </w:pPr>
            <w:proofErr w:type="spellStart"/>
            <w:r w:rsidRPr="00676303">
              <w:rPr>
                <w:rFonts w:asciiTheme="minorHAnsi" w:hAnsiTheme="minorHAnsi"/>
                <w:sz w:val="20"/>
                <w:szCs w:val="20"/>
                <w:lang w:val="en-US"/>
              </w:rPr>
              <w:t>Temel</w:t>
            </w:r>
            <w:proofErr w:type="spellEnd"/>
            <w:r w:rsidRPr="00676303">
              <w:rPr>
                <w:rFonts w:asciiTheme="minorHAnsi" w:hAnsiTheme="minorHAnsi"/>
                <w:sz w:val="20"/>
                <w:szCs w:val="20"/>
                <w:lang w:val="en-US"/>
              </w:rPr>
              <w:t xml:space="preserve"> JS, Greer JA, El-</w:t>
            </w:r>
            <w:proofErr w:type="spellStart"/>
            <w:r w:rsidRPr="00676303">
              <w:rPr>
                <w:rFonts w:asciiTheme="minorHAnsi" w:hAnsiTheme="minorHAnsi"/>
                <w:sz w:val="20"/>
                <w:szCs w:val="20"/>
                <w:lang w:val="en-US"/>
              </w:rPr>
              <w:t>Jawahri</w:t>
            </w:r>
            <w:proofErr w:type="spellEnd"/>
            <w:r w:rsidRPr="00676303">
              <w:rPr>
                <w:rFonts w:asciiTheme="minorHAnsi" w:hAnsiTheme="minorHAnsi"/>
                <w:sz w:val="20"/>
                <w:szCs w:val="20"/>
                <w:lang w:val="en-US"/>
              </w:rPr>
              <w:t xml:space="preserve"> A, </w:t>
            </w:r>
            <w:proofErr w:type="spellStart"/>
            <w:r w:rsidRPr="00676303">
              <w:rPr>
                <w:rFonts w:asciiTheme="minorHAnsi" w:hAnsiTheme="minorHAnsi"/>
                <w:sz w:val="20"/>
                <w:szCs w:val="20"/>
                <w:lang w:val="en-US"/>
              </w:rPr>
              <w:t>Pirl</w:t>
            </w:r>
            <w:proofErr w:type="spellEnd"/>
            <w:r w:rsidRPr="00676303">
              <w:rPr>
                <w:rFonts w:asciiTheme="minorHAnsi" w:hAnsiTheme="minorHAnsi"/>
                <w:sz w:val="20"/>
                <w:szCs w:val="20"/>
                <w:lang w:val="en-US"/>
              </w:rPr>
              <w:t xml:space="preserve"> WF, Park ER, Jackson VA, Back AL, </w:t>
            </w:r>
            <w:proofErr w:type="spellStart"/>
            <w:r w:rsidRPr="00676303">
              <w:rPr>
                <w:rFonts w:asciiTheme="minorHAnsi" w:hAnsiTheme="minorHAnsi"/>
                <w:sz w:val="20"/>
                <w:szCs w:val="20"/>
                <w:lang w:val="en-US"/>
              </w:rPr>
              <w:t>Kamdar</w:t>
            </w:r>
            <w:proofErr w:type="spellEnd"/>
            <w:r w:rsidRPr="00676303">
              <w:rPr>
                <w:rFonts w:asciiTheme="minorHAnsi" w:hAnsiTheme="minorHAnsi"/>
                <w:sz w:val="20"/>
                <w:szCs w:val="20"/>
                <w:lang w:val="en-US"/>
              </w:rPr>
              <w:t xml:space="preserve"> M, Jacobsen J, Chittenden EH, Rinaldi SP, Gallagher ER, Eusebio JR, Li Z, </w:t>
            </w:r>
            <w:proofErr w:type="spellStart"/>
            <w:r w:rsidRPr="00676303">
              <w:rPr>
                <w:rFonts w:asciiTheme="minorHAnsi" w:hAnsiTheme="minorHAnsi"/>
                <w:sz w:val="20"/>
                <w:szCs w:val="20"/>
                <w:lang w:val="en-US"/>
              </w:rPr>
              <w:t>Muzikansky</w:t>
            </w:r>
            <w:proofErr w:type="spellEnd"/>
            <w:r w:rsidRPr="00676303">
              <w:rPr>
                <w:rFonts w:asciiTheme="minorHAnsi" w:hAnsiTheme="minorHAnsi"/>
                <w:sz w:val="20"/>
                <w:szCs w:val="20"/>
                <w:lang w:val="en-US"/>
              </w:rPr>
              <w:t xml:space="preserve"> A, Ryan DP</w:t>
            </w:r>
            <w:r w:rsidRPr="00676303">
              <w:rPr>
                <w:rFonts w:asciiTheme="minorHAnsi" w:eastAsia="Times New Roman" w:hAnsiTheme="minorHAnsi" w:cs="Arial"/>
                <w:sz w:val="20"/>
                <w:szCs w:val="20"/>
                <w:lang w:val="en-US"/>
              </w:rPr>
              <w:t xml:space="preserve">.- </w:t>
            </w:r>
            <w:hyperlink r:id="rId21" w:history="1">
              <w:r w:rsidRPr="00676303">
                <w:rPr>
                  <w:rFonts w:asciiTheme="minorHAnsi" w:eastAsia="Times New Roman" w:hAnsiTheme="minorHAnsi" w:cs="Arial"/>
                  <w:color w:val="2222CC"/>
                  <w:sz w:val="20"/>
                  <w:szCs w:val="20"/>
                  <w:u w:val="single"/>
                  <w:lang w:val="en-US"/>
                </w:rPr>
                <w:t xml:space="preserve">Effects of Early Integrated Palliative Care in Patients With Lung and GI Cancer: A Randomized Clinical </w:t>
              </w:r>
              <w:proofErr w:type="spellStart"/>
              <w:r w:rsidRPr="00676303">
                <w:rPr>
                  <w:rFonts w:asciiTheme="minorHAnsi" w:eastAsia="Times New Roman" w:hAnsiTheme="minorHAnsi" w:cs="Arial"/>
                  <w:color w:val="2222CC"/>
                  <w:sz w:val="20"/>
                  <w:szCs w:val="20"/>
                  <w:u w:val="single"/>
                  <w:lang w:val="en-US"/>
                </w:rPr>
                <w:t>Trial.</w:t>
              </w:r>
            </w:hyperlink>
            <w:r w:rsidRPr="00676303">
              <w:rPr>
                <w:rFonts w:asciiTheme="minorHAnsi" w:eastAsia="Times New Roman" w:hAnsiTheme="minorHAnsi" w:cs="Arial"/>
                <w:sz w:val="20"/>
                <w:szCs w:val="20"/>
                <w:lang w:val="en-US"/>
              </w:rPr>
              <w:t>J</w:t>
            </w:r>
            <w:proofErr w:type="spellEnd"/>
            <w:r w:rsidRPr="00676303">
              <w:rPr>
                <w:rFonts w:asciiTheme="minorHAnsi" w:eastAsia="Times New Roman" w:hAnsiTheme="minorHAnsi" w:cs="Arial"/>
                <w:sz w:val="20"/>
                <w:szCs w:val="20"/>
                <w:lang w:val="en-US"/>
              </w:rPr>
              <w:t xml:space="preserve"> </w:t>
            </w:r>
            <w:proofErr w:type="spellStart"/>
            <w:r w:rsidRPr="00676303">
              <w:rPr>
                <w:rFonts w:asciiTheme="minorHAnsi" w:hAnsiTheme="minorHAnsi"/>
                <w:sz w:val="20"/>
                <w:szCs w:val="20"/>
                <w:lang w:val="en-US"/>
              </w:rPr>
              <w:t>Clin</w:t>
            </w:r>
            <w:proofErr w:type="spellEnd"/>
            <w:r w:rsidRPr="00676303">
              <w:rPr>
                <w:rFonts w:asciiTheme="minorHAnsi" w:hAnsiTheme="minorHAnsi"/>
                <w:sz w:val="20"/>
                <w:szCs w:val="20"/>
                <w:lang w:val="en-US"/>
              </w:rPr>
              <w:t xml:space="preserve"> </w:t>
            </w:r>
            <w:proofErr w:type="spellStart"/>
            <w:r w:rsidRPr="00676303">
              <w:rPr>
                <w:rFonts w:asciiTheme="minorHAnsi" w:hAnsiTheme="minorHAnsi"/>
                <w:sz w:val="20"/>
                <w:szCs w:val="20"/>
                <w:lang w:val="en-US"/>
              </w:rPr>
              <w:t>Oncol</w:t>
            </w:r>
            <w:proofErr w:type="spellEnd"/>
            <w:r w:rsidRPr="00676303">
              <w:rPr>
                <w:rFonts w:asciiTheme="minorHAnsi" w:hAnsiTheme="minorHAnsi"/>
                <w:sz w:val="20"/>
                <w:szCs w:val="20"/>
                <w:lang w:val="en-US"/>
              </w:rPr>
              <w:t xml:space="preserve">. 2017 Mar 10;35(8):834-841. </w:t>
            </w:r>
            <w:bookmarkStart w:id="0" w:name="_GoBack"/>
            <w:bookmarkEnd w:id="0"/>
          </w:p>
        </w:tc>
      </w:tr>
    </w:tbl>
    <w:p w14:paraId="405D5239"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0714F"/>
    <w:multiLevelType w:val="hybridMultilevel"/>
    <w:tmpl w:val="EA648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D2535"/>
    <w:multiLevelType w:val="hybridMultilevel"/>
    <w:tmpl w:val="4ABA4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85103D0"/>
    <w:multiLevelType w:val="hybridMultilevel"/>
    <w:tmpl w:val="FFD07964"/>
    <w:lvl w:ilvl="0" w:tplc="5FFE089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A677CD7"/>
    <w:multiLevelType w:val="hybridMultilevel"/>
    <w:tmpl w:val="12C2F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D417F6"/>
    <w:multiLevelType w:val="hybridMultilevel"/>
    <w:tmpl w:val="06D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926143"/>
    <w:multiLevelType w:val="hybridMultilevel"/>
    <w:tmpl w:val="BEB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33E"/>
    <w:rsid w:val="006F184C"/>
    <w:rsid w:val="0072233E"/>
    <w:rsid w:val="00866DD7"/>
    <w:rsid w:val="00952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96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33E"/>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33E"/>
    <w:pPr>
      <w:spacing w:after="200" w:line="276" w:lineRule="auto"/>
      <w:ind w:left="720"/>
      <w:contextualSpacing/>
    </w:pPr>
    <w:rPr>
      <w:lang w:val="ro-RO"/>
    </w:rPr>
  </w:style>
  <w:style w:type="character" w:styleId="Hyperlink">
    <w:name w:val="Hyperlink"/>
    <w:basedOn w:val="DefaultParagraphFont"/>
    <w:uiPriority w:val="99"/>
    <w:unhideWhenUsed/>
    <w:rsid w:val="0072233E"/>
    <w:rPr>
      <w:color w:val="0563C1" w:themeColor="hyperlink"/>
      <w:u w:val="single"/>
    </w:rPr>
  </w:style>
  <w:style w:type="paragraph" w:styleId="BalloonText">
    <w:name w:val="Balloon Text"/>
    <w:basedOn w:val="Normal"/>
    <w:link w:val="BalloonTextChar"/>
    <w:uiPriority w:val="99"/>
    <w:semiHidden/>
    <w:unhideWhenUsed/>
    <w:rsid w:val="00952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752"/>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33E"/>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33E"/>
    <w:pPr>
      <w:spacing w:after="200" w:line="276" w:lineRule="auto"/>
      <w:ind w:left="720"/>
      <w:contextualSpacing/>
    </w:pPr>
    <w:rPr>
      <w:lang w:val="ro-RO"/>
    </w:rPr>
  </w:style>
  <w:style w:type="character" w:styleId="Hyperlink">
    <w:name w:val="Hyperlink"/>
    <w:basedOn w:val="DefaultParagraphFont"/>
    <w:uiPriority w:val="99"/>
    <w:unhideWhenUsed/>
    <w:rsid w:val="0072233E"/>
    <w:rPr>
      <w:color w:val="0563C1" w:themeColor="hyperlink"/>
      <w:u w:val="single"/>
    </w:rPr>
  </w:style>
  <w:style w:type="paragraph" w:styleId="BalloonText">
    <w:name w:val="Balloon Text"/>
    <w:basedOn w:val="Normal"/>
    <w:link w:val="BalloonTextChar"/>
    <w:uiPriority w:val="99"/>
    <w:semiHidden/>
    <w:unhideWhenUsed/>
    <w:rsid w:val="00952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752"/>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ac.uk/files/atoms/files/demography_of_death_and_dying.pdf" TargetMode="External"/><Relationship Id="rId13" Type="http://schemas.openxmlformats.org/officeDocument/2006/relationships/hyperlink" Target="https://www.ncbi.nlm.nih.gov/pubmed/?term=Finn%20L%5BAuthor%5D&amp;cauthor=true&amp;cauthor_uid=29230124" TargetMode="External"/><Relationship Id="rId18" Type="http://schemas.openxmlformats.org/officeDocument/2006/relationships/hyperlink" Target="http://graphics.eiu.com/upload/eb/qualityofdeath.pdf" TargetMode="External"/><Relationship Id="rId3" Type="http://schemas.microsoft.com/office/2007/relationships/stylesWithEffects" Target="stylesWithEffects.xml"/><Relationship Id="rId21" Type="http://schemas.openxmlformats.org/officeDocument/2006/relationships/hyperlink" Target="https://www.ncbi.nlm.nih.gov/pubmed/28029308" TargetMode="External"/><Relationship Id="rId7" Type="http://schemas.openxmlformats.org/officeDocument/2006/relationships/hyperlink" Target="http://www.uq.edu.au/primarypallcare/documents/Concept%20of%20Trajections%20Scott%20Murray%200610.pdf" TargetMode="External"/><Relationship Id="rId12" Type="http://schemas.openxmlformats.org/officeDocument/2006/relationships/hyperlink" Target="https://pdfs.semanticscholar.org/7d80/44f05bedd7d2a03f1ce51d9ddf3fa2354dc3.pdf" TargetMode="External"/><Relationship Id="rId17" Type="http://schemas.openxmlformats.org/officeDocument/2006/relationships/hyperlink" Target="https://www.ncbi.nlm.nih.gov/pmc/articles/PMC5718452/" TargetMode="External"/><Relationship Id="rId2" Type="http://schemas.openxmlformats.org/officeDocument/2006/relationships/styles" Target="styles.xml"/><Relationship Id="rId16" Type="http://schemas.openxmlformats.org/officeDocument/2006/relationships/hyperlink" Target="https://www.ncbi.nlm.nih.gov/pubmed/?term=Malhotra%20S%5BAuthor%5D&amp;cauthor=true&amp;cauthor_uid=29230124" TargetMode="External"/><Relationship Id="rId20" Type="http://schemas.openxmlformats.org/officeDocument/2006/relationships/hyperlink" Target="https://www.ncbi.nlm.nih.gov/pubmed/28050132" TargetMode="External"/><Relationship Id="rId1" Type="http://schemas.openxmlformats.org/officeDocument/2006/relationships/numbering" Target="numbering.xml"/><Relationship Id="rId6" Type="http://schemas.openxmlformats.org/officeDocument/2006/relationships/hyperlink" Target="https://www.youtube.com/watch?v=vS7ueV0ui5U" TargetMode="External"/><Relationship Id="rId11" Type="http://schemas.openxmlformats.org/officeDocument/2006/relationships/hyperlink" Target="https://www.ncbi.nlm.nih.gov/pmc/articles/PMC4772864/" TargetMode="External"/><Relationship Id="rId5" Type="http://schemas.openxmlformats.org/officeDocument/2006/relationships/webSettings" Target="webSettings.xml"/><Relationship Id="rId15" Type="http://schemas.openxmlformats.org/officeDocument/2006/relationships/hyperlink" Target="https://www.ncbi.nlm.nih.gov/pubmed/?term=Green%20AR%5BAuthor%5D&amp;cauthor=true&amp;cauthor_uid=29230124" TargetMode="External"/><Relationship Id="rId23" Type="http://schemas.openxmlformats.org/officeDocument/2006/relationships/theme" Target="theme/theme1.xml"/><Relationship Id="rId10" Type="http://schemas.openxmlformats.org/officeDocument/2006/relationships/hyperlink" Target="https://www.ncbi.nlm.nih.gov/pubmed/?term=Bruera%20E%5BAuthor%5D&amp;cauthor=true&amp;cauthor_uid=26598947" TargetMode="External"/><Relationship Id="rId19" Type="http://schemas.openxmlformats.org/officeDocument/2006/relationships/hyperlink" Target="https://www.ncbi.nlm.nih.gov/pubmed/29230124" TargetMode="External"/><Relationship Id="rId4" Type="http://schemas.openxmlformats.org/officeDocument/2006/relationships/settings" Target="settings.xml"/><Relationship Id="rId9" Type="http://schemas.openxmlformats.org/officeDocument/2006/relationships/hyperlink" Target="https://www.ncbi.nlm.nih.gov/pubmed/?term=Hui%20D%5BAuthor%5D&amp;cauthor=true&amp;cauthor_uid=26598947" TargetMode="External"/><Relationship Id="rId14" Type="http://schemas.openxmlformats.org/officeDocument/2006/relationships/image" Target="media/image1.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759</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Stanciulescu</dc:creator>
  <cp:lastModifiedBy>Karen Charnley</cp:lastModifiedBy>
  <cp:revision>3</cp:revision>
  <dcterms:created xsi:type="dcterms:W3CDTF">2020-02-18T13:43:00Z</dcterms:created>
  <dcterms:modified xsi:type="dcterms:W3CDTF">2020-02-19T14:03:00Z</dcterms:modified>
</cp:coreProperties>
</file>