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938"/>
      </w:tblGrid>
      <w:tr w:rsidR="004C0CE1" w:rsidRPr="00676303" w14:paraId="3B32D066" w14:textId="77777777" w:rsidTr="005B2359">
        <w:tc>
          <w:tcPr>
            <w:tcW w:w="9351" w:type="dxa"/>
            <w:gridSpan w:val="2"/>
            <w:shd w:val="clear" w:color="auto" w:fill="DBE5F1"/>
          </w:tcPr>
          <w:p w14:paraId="6B3A6B49" w14:textId="77777777" w:rsidR="004C0CE1" w:rsidRPr="00676303" w:rsidRDefault="004C0CE1" w:rsidP="005B2359">
            <w:pPr>
              <w:spacing w:after="0" w:line="20" w:lineRule="atLeast"/>
              <w:jc w:val="center"/>
              <w:rPr>
                <w:rFonts w:asciiTheme="minorHAnsi" w:hAnsiTheme="minorHAnsi" w:cs="Calibri"/>
                <w:b/>
                <w:i/>
                <w:sz w:val="20"/>
                <w:szCs w:val="20"/>
                <w:lang w:val="en-US"/>
              </w:rPr>
            </w:pPr>
            <w:r w:rsidRPr="00676303">
              <w:rPr>
                <w:rFonts w:asciiTheme="minorHAnsi" w:hAnsiTheme="minorHAnsi" w:cs="Calibri"/>
                <w:b/>
                <w:i/>
                <w:sz w:val="20"/>
                <w:szCs w:val="20"/>
                <w:lang w:val="en-US"/>
              </w:rPr>
              <w:t xml:space="preserve">Lesson Plan </w:t>
            </w:r>
          </w:p>
        </w:tc>
      </w:tr>
      <w:tr w:rsidR="004C0CE1" w:rsidRPr="00676303" w14:paraId="2F9DA40A" w14:textId="77777777" w:rsidTr="005B2359">
        <w:tc>
          <w:tcPr>
            <w:tcW w:w="1413" w:type="dxa"/>
            <w:shd w:val="clear" w:color="auto" w:fill="DBE5F1"/>
          </w:tcPr>
          <w:p w14:paraId="27719CB7" w14:textId="77777777" w:rsidR="004C0CE1" w:rsidRPr="00676303" w:rsidRDefault="004C0CE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Topic</w:t>
            </w:r>
          </w:p>
        </w:tc>
        <w:tc>
          <w:tcPr>
            <w:tcW w:w="7938" w:type="dxa"/>
            <w:shd w:val="clear" w:color="auto" w:fill="auto"/>
          </w:tcPr>
          <w:p w14:paraId="4C95F325" w14:textId="77777777" w:rsidR="004C0CE1" w:rsidRPr="00676303" w:rsidRDefault="004C0CE1" w:rsidP="005B2359">
            <w:pPr>
              <w:spacing w:after="0" w:line="20" w:lineRule="atLeast"/>
              <w:textAlignment w:val="baseline"/>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Pain Assessment and Management</w:t>
            </w:r>
          </w:p>
        </w:tc>
      </w:tr>
      <w:tr w:rsidR="004C0CE1" w:rsidRPr="00676303" w14:paraId="676762B3" w14:textId="77777777" w:rsidTr="005B2359">
        <w:tc>
          <w:tcPr>
            <w:tcW w:w="1413" w:type="dxa"/>
            <w:shd w:val="clear" w:color="auto" w:fill="DBE5F1"/>
          </w:tcPr>
          <w:p w14:paraId="4DAAE60E" w14:textId="77777777" w:rsidR="004C0CE1" w:rsidRPr="00676303" w:rsidRDefault="004C0CE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7938" w:type="dxa"/>
            <w:shd w:val="clear" w:color="auto" w:fill="auto"/>
          </w:tcPr>
          <w:p w14:paraId="3048796F" w14:textId="77777777" w:rsidR="004C0CE1" w:rsidRPr="00676303" w:rsidRDefault="004C0CE1" w:rsidP="005B2359">
            <w:pPr>
              <w:spacing w:after="0" w:line="20" w:lineRule="atLeast"/>
              <w:rPr>
                <w:rFonts w:asciiTheme="minorHAnsi" w:hAnsiTheme="minorHAnsi" w:cs="Calibri"/>
                <w:sz w:val="20"/>
                <w:szCs w:val="20"/>
                <w:lang w:val="en-US"/>
              </w:rPr>
            </w:pPr>
            <w:r w:rsidRPr="00676303">
              <w:rPr>
                <w:rFonts w:asciiTheme="minorHAnsi" w:hAnsiTheme="minorHAnsi" w:cs="Calibri"/>
                <w:b/>
                <w:sz w:val="20"/>
                <w:szCs w:val="20"/>
                <w:lang w:val="en-US"/>
              </w:rPr>
              <w:t>Pain and Total Pain in Palliative Care</w:t>
            </w:r>
          </w:p>
        </w:tc>
      </w:tr>
      <w:tr w:rsidR="004C0CE1" w:rsidRPr="00676303" w14:paraId="6CB0CA49" w14:textId="77777777" w:rsidTr="005B2359">
        <w:trPr>
          <w:trHeight w:val="652"/>
        </w:trPr>
        <w:tc>
          <w:tcPr>
            <w:tcW w:w="1413" w:type="dxa"/>
            <w:shd w:val="clear" w:color="auto" w:fill="DBE5F1"/>
          </w:tcPr>
          <w:p w14:paraId="044262E5" w14:textId="77777777" w:rsidR="004C0CE1" w:rsidRPr="00676303" w:rsidRDefault="004C0CE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Learning Outcome </w:t>
            </w:r>
          </w:p>
        </w:tc>
        <w:tc>
          <w:tcPr>
            <w:tcW w:w="7938" w:type="dxa"/>
            <w:shd w:val="clear" w:color="auto" w:fill="auto"/>
          </w:tcPr>
          <w:p w14:paraId="01D893F5" w14:textId="77777777" w:rsidR="004C0CE1" w:rsidRPr="00676303" w:rsidRDefault="004C0CE1" w:rsidP="005B2359">
            <w:pPr>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Understand pain as a multidimensional experience</w:t>
            </w:r>
          </w:p>
        </w:tc>
      </w:tr>
      <w:tr w:rsidR="004C0CE1" w:rsidRPr="00676303" w14:paraId="4C81AFB4" w14:textId="77777777" w:rsidTr="005B2359">
        <w:tc>
          <w:tcPr>
            <w:tcW w:w="1413" w:type="dxa"/>
            <w:shd w:val="clear" w:color="auto" w:fill="DBE5F1"/>
          </w:tcPr>
          <w:p w14:paraId="554D39C6" w14:textId="77777777" w:rsidR="004C0CE1" w:rsidRPr="00676303" w:rsidRDefault="004C0CE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7938" w:type="dxa"/>
            <w:shd w:val="clear" w:color="auto" w:fill="auto"/>
          </w:tcPr>
          <w:p w14:paraId="0EAE3707" w14:textId="77777777" w:rsidR="004C0CE1" w:rsidRPr="00676303" w:rsidRDefault="004C0CE1" w:rsidP="005B2359">
            <w:pPr>
              <w:spacing w:after="0" w:line="20" w:lineRule="atLeast"/>
              <w:rPr>
                <w:rFonts w:asciiTheme="minorHAnsi" w:hAnsiTheme="minorHAnsi"/>
                <w:sz w:val="20"/>
                <w:szCs w:val="20"/>
                <w:lang w:val="en-US"/>
              </w:rPr>
            </w:pPr>
            <w:r w:rsidRPr="00676303">
              <w:rPr>
                <w:rFonts w:asciiTheme="minorHAnsi" w:hAnsiTheme="minorHAnsi"/>
                <w:sz w:val="20"/>
                <w:szCs w:val="20"/>
                <w:lang w:val="en-US"/>
              </w:rPr>
              <w:t>The lectures should demonstrate the importance of correct pain management, taking into account the IP characteristic of "total pain” that pain can and must be treated properly to ensure the quality of life of the oncological patient and his family.</w:t>
            </w:r>
          </w:p>
        </w:tc>
      </w:tr>
      <w:tr w:rsidR="004C0CE1" w:rsidRPr="00676303" w14:paraId="7D7D0A0E" w14:textId="77777777" w:rsidTr="00DD79C7">
        <w:trPr>
          <w:trHeight w:val="2643"/>
        </w:trPr>
        <w:tc>
          <w:tcPr>
            <w:tcW w:w="1413" w:type="dxa"/>
            <w:shd w:val="clear" w:color="auto" w:fill="DBE5F1"/>
          </w:tcPr>
          <w:p w14:paraId="263E7405" w14:textId="77777777" w:rsidR="004C0CE1" w:rsidRPr="00676303" w:rsidRDefault="004C0CE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44F59F4F" w14:textId="77777777" w:rsidR="004C0CE1" w:rsidRPr="00676303" w:rsidRDefault="004C0CE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Cognition  </w:t>
            </w:r>
          </w:p>
          <w:p w14:paraId="1DED7C15" w14:textId="77777777" w:rsidR="004C0CE1" w:rsidRPr="00676303" w:rsidRDefault="004C0CE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3ABDF810" w14:textId="77777777" w:rsidR="004C0CE1" w:rsidRPr="00676303" w:rsidRDefault="004C0CE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24E24DC3" w14:textId="77777777" w:rsidR="004C0CE1" w:rsidRPr="00676303" w:rsidRDefault="004C0CE1" w:rsidP="005B2359">
            <w:pPr>
              <w:spacing w:after="0" w:line="20" w:lineRule="atLeast"/>
              <w:rPr>
                <w:rFonts w:asciiTheme="minorHAnsi" w:hAnsiTheme="minorHAnsi" w:cs="Calibri"/>
                <w:b/>
                <w:sz w:val="20"/>
                <w:szCs w:val="20"/>
                <w:lang w:val="en-US"/>
              </w:rPr>
            </w:pPr>
          </w:p>
        </w:tc>
        <w:tc>
          <w:tcPr>
            <w:tcW w:w="7938" w:type="dxa"/>
            <w:shd w:val="clear" w:color="auto" w:fill="auto"/>
          </w:tcPr>
          <w:p w14:paraId="18CE046A" w14:textId="77777777" w:rsidR="004C0CE1" w:rsidRPr="00676303" w:rsidRDefault="004C0CE1" w:rsidP="005B2359">
            <w:pPr>
              <w:spacing w:after="0" w:line="20" w:lineRule="atLeast"/>
              <w:contextualSpacing/>
              <w:rPr>
                <w:rFonts w:asciiTheme="minorHAnsi" w:hAnsiTheme="minorHAnsi" w:cs="Calibri"/>
                <w:sz w:val="20"/>
                <w:szCs w:val="20"/>
                <w:lang w:val="en-US"/>
              </w:rPr>
            </w:pPr>
            <w:r w:rsidRPr="00676303">
              <w:rPr>
                <w:rFonts w:asciiTheme="minorHAnsi" w:hAnsiTheme="minorHAnsi" w:cs="Calibri"/>
                <w:sz w:val="20"/>
                <w:szCs w:val="20"/>
                <w:lang w:val="en-US"/>
              </w:rPr>
              <w:t>Cognition/ Knowledge:</w:t>
            </w:r>
          </w:p>
          <w:p w14:paraId="328C106E" w14:textId="77777777" w:rsidR="004C0CE1" w:rsidRPr="00676303" w:rsidRDefault="004C0CE1" w:rsidP="005B2359">
            <w:pPr>
              <w:pStyle w:val="ListParagraph"/>
              <w:numPr>
                <w:ilvl w:val="0"/>
                <w:numId w:val="1"/>
              </w:numPr>
              <w:tabs>
                <w:tab w:val="left" w:pos="317"/>
              </w:tabs>
              <w:spacing w:after="0" w:line="20" w:lineRule="atLeast"/>
              <w:rPr>
                <w:rFonts w:asciiTheme="minorHAnsi" w:eastAsia="Times New Roman" w:hAnsiTheme="minorHAnsi" w:cstheme="minorHAnsi"/>
                <w:sz w:val="16"/>
                <w:szCs w:val="18"/>
                <w:lang w:val="en-US" w:eastAsia="en-GB"/>
              </w:rPr>
            </w:pPr>
            <w:r w:rsidRPr="00676303">
              <w:rPr>
                <w:rFonts w:asciiTheme="minorHAnsi" w:eastAsia="Times New Roman" w:hAnsiTheme="minorHAnsi" w:cstheme="minorHAnsi"/>
                <w:sz w:val="16"/>
                <w:szCs w:val="18"/>
                <w:lang w:val="en-US" w:eastAsia="en-GB"/>
              </w:rPr>
              <w:t>Describe causes and effects of different types of pain that may be experienced.</w:t>
            </w:r>
          </w:p>
          <w:p w14:paraId="425F0F19" w14:textId="77777777" w:rsidR="004C0CE1" w:rsidRPr="00676303" w:rsidRDefault="004C0CE1" w:rsidP="005B2359">
            <w:pPr>
              <w:pStyle w:val="ListParagraph"/>
              <w:numPr>
                <w:ilvl w:val="0"/>
                <w:numId w:val="1"/>
              </w:numPr>
              <w:tabs>
                <w:tab w:val="left" w:pos="317"/>
              </w:tabs>
              <w:spacing w:after="0" w:line="20" w:lineRule="atLeast"/>
              <w:rPr>
                <w:rFonts w:asciiTheme="minorHAnsi" w:eastAsia="Times New Roman" w:hAnsiTheme="minorHAnsi" w:cstheme="minorHAnsi"/>
                <w:sz w:val="16"/>
                <w:szCs w:val="18"/>
                <w:lang w:val="en-US" w:eastAsia="en-GB"/>
              </w:rPr>
            </w:pPr>
            <w:r w:rsidRPr="00676303">
              <w:rPr>
                <w:rFonts w:asciiTheme="minorHAnsi" w:eastAsia="Times New Roman" w:hAnsiTheme="minorHAnsi" w:cstheme="minorHAnsi"/>
                <w:sz w:val="16"/>
                <w:szCs w:val="18"/>
                <w:lang w:val="en-US" w:eastAsia="en-GB"/>
              </w:rPr>
              <w:t>Explain the concept of “total pain”.</w:t>
            </w:r>
          </w:p>
          <w:p w14:paraId="53D30254" w14:textId="77777777" w:rsidR="004C0CE1" w:rsidRPr="00676303" w:rsidRDefault="004C0CE1" w:rsidP="005B2359">
            <w:pPr>
              <w:pStyle w:val="ListParagraph"/>
              <w:numPr>
                <w:ilvl w:val="0"/>
                <w:numId w:val="1"/>
              </w:numPr>
              <w:tabs>
                <w:tab w:val="left" w:pos="317"/>
              </w:tabs>
              <w:spacing w:after="0" w:line="20" w:lineRule="atLeast"/>
              <w:rPr>
                <w:rFonts w:asciiTheme="minorHAnsi" w:eastAsia="Times New Roman" w:hAnsiTheme="minorHAnsi" w:cstheme="minorHAnsi"/>
                <w:sz w:val="16"/>
                <w:szCs w:val="18"/>
                <w:lang w:val="en-US" w:eastAsia="en-GB"/>
              </w:rPr>
            </w:pPr>
            <w:r w:rsidRPr="00676303">
              <w:rPr>
                <w:rFonts w:asciiTheme="minorHAnsi" w:eastAsia="Times New Roman" w:hAnsiTheme="minorHAnsi" w:cstheme="minorHAnsi"/>
                <w:sz w:val="16"/>
                <w:szCs w:val="18"/>
                <w:lang w:val="en-US" w:eastAsia="en-GB"/>
              </w:rPr>
              <w:t>Understanding that pain is influenced by multiple factors such as thoughts, activity, sleep mood and stress.</w:t>
            </w:r>
          </w:p>
          <w:p w14:paraId="610D3EF5" w14:textId="77777777" w:rsidR="004C0CE1" w:rsidRPr="00676303" w:rsidRDefault="004C0CE1" w:rsidP="005B2359">
            <w:pPr>
              <w:pStyle w:val="ListParagraph"/>
              <w:numPr>
                <w:ilvl w:val="0"/>
                <w:numId w:val="1"/>
              </w:numPr>
              <w:tabs>
                <w:tab w:val="left" w:pos="317"/>
              </w:tabs>
              <w:spacing w:after="0" w:line="20" w:lineRule="atLeast"/>
              <w:rPr>
                <w:rFonts w:asciiTheme="minorHAnsi" w:eastAsia="Times New Roman" w:hAnsiTheme="minorHAnsi" w:cstheme="minorHAnsi"/>
                <w:sz w:val="16"/>
                <w:szCs w:val="18"/>
                <w:lang w:val="en-US" w:eastAsia="en-GB"/>
              </w:rPr>
            </w:pPr>
            <w:r w:rsidRPr="00676303">
              <w:rPr>
                <w:rFonts w:eastAsia="Times New Roman" w:cs="Calibri"/>
                <w:color w:val="000000"/>
                <w:sz w:val="16"/>
                <w:szCs w:val="18"/>
                <w:lang w:val="en-US" w:eastAsia="en-GB"/>
              </w:rPr>
              <w:t>To differentiate between pain and suffering.</w:t>
            </w:r>
          </w:p>
          <w:p w14:paraId="5435332A" w14:textId="77777777" w:rsidR="004C0CE1" w:rsidRPr="00676303" w:rsidRDefault="004C0CE1" w:rsidP="005B2359">
            <w:pPr>
              <w:spacing w:after="0" w:line="20" w:lineRule="atLeast"/>
              <w:contextualSpacing/>
              <w:rPr>
                <w:rFonts w:asciiTheme="minorHAnsi" w:hAnsiTheme="minorHAnsi" w:cs="Calibri"/>
                <w:sz w:val="20"/>
                <w:szCs w:val="20"/>
                <w:lang w:val="en-US"/>
              </w:rPr>
            </w:pPr>
            <w:r w:rsidRPr="00676303">
              <w:rPr>
                <w:rFonts w:asciiTheme="minorHAnsi" w:hAnsiTheme="minorHAnsi" w:cs="Calibri"/>
                <w:sz w:val="20"/>
                <w:szCs w:val="20"/>
                <w:lang w:val="en-US"/>
              </w:rPr>
              <w:t>Skills :</w:t>
            </w:r>
          </w:p>
          <w:p w14:paraId="3C814F24" w14:textId="68D8C071" w:rsidR="004C0CE1" w:rsidRPr="00DD79C7" w:rsidRDefault="004C0CE1" w:rsidP="005B2359">
            <w:pPr>
              <w:pStyle w:val="ListParagraph"/>
              <w:numPr>
                <w:ilvl w:val="0"/>
                <w:numId w:val="2"/>
              </w:numPr>
              <w:spacing w:after="0" w:line="20" w:lineRule="atLeast"/>
              <w:ind w:left="1026"/>
              <w:rPr>
                <w:rFonts w:asciiTheme="minorHAnsi" w:eastAsia="Times New Roman" w:hAnsiTheme="minorHAnsi" w:cstheme="minorHAnsi"/>
                <w:sz w:val="16"/>
                <w:szCs w:val="18"/>
                <w:lang w:val="en-US" w:eastAsia="en-GB"/>
              </w:rPr>
            </w:pPr>
            <w:r w:rsidRPr="00676303">
              <w:rPr>
                <w:rFonts w:asciiTheme="minorHAnsi" w:eastAsia="Times New Roman" w:hAnsiTheme="minorHAnsi" w:cstheme="minorHAnsi"/>
                <w:sz w:val="16"/>
                <w:szCs w:val="18"/>
                <w:lang w:val="en-US" w:eastAsia="en-GB"/>
              </w:rPr>
              <w:t>Identify the elements of total pain in a clinical pain assessment.</w:t>
            </w:r>
          </w:p>
          <w:p w14:paraId="47C5DA77" w14:textId="77777777" w:rsidR="004C0CE1" w:rsidRPr="00676303" w:rsidRDefault="004C0CE1" w:rsidP="005B2359">
            <w:pPr>
              <w:spacing w:after="0" w:line="20" w:lineRule="atLeast"/>
              <w:rPr>
                <w:rFonts w:asciiTheme="minorHAnsi" w:eastAsia="Times New Roman" w:hAnsiTheme="minorHAnsi" w:cstheme="minorHAnsi"/>
                <w:sz w:val="16"/>
                <w:szCs w:val="18"/>
                <w:lang w:val="en-US" w:eastAsia="en-GB"/>
              </w:rPr>
            </w:pPr>
            <w:r w:rsidRPr="00676303">
              <w:rPr>
                <w:rFonts w:asciiTheme="minorHAnsi" w:eastAsia="Times New Roman" w:hAnsiTheme="minorHAnsi" w:cstheme="minorHAnsi"/>
                <w:sz w:val="16"/>
                <w:szCs w:val="18"/>
                <w:lang w:val="en-US" w:eastAsia="en-GB"/>
              </w:rPr>
              <w:t xml:space="preserve">Attitude: </w:t>
            </w:r>
          </w:p>
          <w:p w14:paraId="0C5ADE87" w14:textId="77777777" w:rsidR="004C0CE1" w:rsidRPr="00676303" w:rsidRDefault="004C0CE1" w:rsidP="005B2359">
            <w:pPr>
              <w:pStyle w:val="ListParagraph"/>
              <w:numPr>
                <w:ilvl w:val="0"/>
                <w:numId w:val="3"/>
              </w:numPr>
              <w:tabs>
                <w:tab w:val="left" w:pos="176"/>
              </w:tabs>
              <w:spacing w:after="0" w:line="20" w:lineRule="atLeast"/>
              <w:rPr>
                <w:rFonts w:asciiTheme="minorHAnsi" w:eastAsia="Times New Roman" w:hAnsiTheme="minorHAnsi" w:cstheme="minorHAnsi"/>
                <w:sz w:val="16"/>
                <w:szCs w:val="18"/>
                <w:lang w:val="en-US" w:eastAsia="en-GB"/>
              </w:rPr>
            </w:pPr>
            <w:r w:rsidRPr="00676303">
              <w:rPr>
                <w:rFonts w:asciiTheme="minorHAnsi" w:eastAsia="Times New Roman" w:hAnsiTheme="minorHAnsi" w:cstheme="minorHAnsi"/>
                <w:sz w:val="16"/>
                <w:szCs w:val="18"/>
                <w:lang w:val="en-US" w:eastAsia="en-GB"/>
              </w:rPr>
              <w:t>Reflect on the multidimensional nature of pain, considering pain as an impairment of body structure and function, which in turn limits activity and participation.</w:t>
            </w:r>
          </w:p>
          <w:p w14:paraId="426D7DB9" w14:textId="23D6BB5A" w:rsidR="004C0CE1" w:rsidRPr="00DD79C7" w:rsidRDefault="004C0CE1" w:rsidP="005B2359">
            <w:pPr>
              <w:pStyle w:val="ListParagraph"/>
              <w:numPr>
                <w:ilvl w:val="0"/>
                <w:numId w:val="3"/>
              </w:numPr>
              <w:tabs>
                <w:tab w:val="left" w:pos="176"/>
              </w:tabs>
              <w:spacing w:after="0" w:line="20" w:lineRule="atLeast"/>
              <w:rPr>
                <w:rFonts w:asciiTheme="minorHAnsi" w:eastAsia="Times New Roman" w:hAnsiTheme="minorHAnsi" w:cstheme="minorHAnsi"/>
                <w:sz w:val="16"/>
                <w:szCs w:val="18"/>
                <w:lang w:val="en-US" w:eastAsia="en-GB"/>
              </w:rPr>
            </w:pPr>
            <w:r w:rsidRPr="00676303">
              <w:rPr>
                <w:rFonts w:asciiTheme="minorHAnsi" w:eastAsia="Times New Roman" w:hAnsiTheme="minorHAnsi" w:cstheme="minorHAnsi"/>
                <w:sz w:val="16"/>
                <w:szCs w:val="18"/>
                <w:lang w:val="en-US" w:eastAsia="en-GB"/>
              </w:rPr>
              <w:t>Be aware that there is more to pain relief than medication</w:t>
            </w:r>
          </w:p>
        </w:tc>
      </w:tr>
      <w:tr w:rsidR="004C0CE1" w:rsidRPr="00676303" w14:paraId="252CFDA0" w14:textId="77777777" w:rsidTr="005B2359">
        <w:tc>
          <w:tcPr>
            <w:tcW w:w="1413" w:type="dxa"/>
            <w:shd w:val="clear" w:color="auto" w:fill="DBE5F1"/>
          </w:tcPr>
          <w:p w14:paraId="40F7B1D9" w14:textId="77777777" w:rsidR="004C0CE1" w:rsidRPr="00676303" w:rsidRDefault="004C0CE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7938" w:type="dxa"/>
            <w:shd w:val="clear" w:color="auto" w:fill="auto"/>
          </w:tcPr>
          <w:p w14:paraId="796EA7EC" w14:textId="77777777" w:rsidR="004C0CE1" w:rsidRPr="00676303" w:rsidRDefault="004C0CE1" w:rsidP="005B2359">
            <w:pPr>
              <w:pStyle w:val="ListParagraph"/>
              <w:numPr>
                <w:ilvl w:val="0"/>
                <w:numId w:val="4"/>
              </w:numPr>
              <w:spacing w:after="0" w:line="20" w:lineRule="atLeast"/>
              <w:rPr>
                <w:rFonts w:asciiTheme="minorHAnsi" w:hAnsiTheme="minorHAnsi" w:cs="Calibri"/>
                <w:sz w:val="20"/>
                <w:szCs w:val="20"/>
                <w:lang w:val="en-US"/>
              </w:rPr>
            </w:pPr>
            <w:proofErr w:type="spellStart"/>
            <w:r w:rsidRPr="00676303">
              <w:rPr>
                <w:rFonts w:asciiTheme="minorHAnsi" w:hAnsiTheme="minorHAnsi" w:cs="Calibri"/>
                <w:sz w:val="20"/>
                <w:szCs w:val="20"/>
                <w:lang w:val="en-US"/>
              </w:rPr>
              <w:t>Powerpoint</w:t>
            </w:r>
            <w:proofErr w:type="spellEnd"/>
            <w:r w:rsidRPr="00676303">
              <w:rPr>
                <w:rFonts w:asciiTheme="minorHAnsi" w:hAnsiTheme="minorHAnsi" w:cs="Calibri"/>
                <w:sz w:val="20"/>
                <w:szCs w:val="20"/>
                <w:lang w:val="en-US"/>
              </w:rPr>
              <w:t xml:space="preserve"> presentation, case </w:t>
            </w:r>
            <w:proofErr w:type="spellStart"/>
            <w:r w:rsidRPr="00676303">
              <w:rPr>
                <w:rFonts w:asciiTheme="minorHAnsi" w:hAnsiTheme="minorHAnsi" w:cs="Calibri"/>
                <w:sz w:val="20"/>
                <w:szCs w:val="20"/>
                <w:lang w:val="en-US"/>
              </w:rPr>
              <w:t>studis</w:t>
            </w:r>
            <w:proofErr w:type="spellEnd"/>
            <w:r w:rsidRPr="00676303">
              <w:rPr>
                <w:rFonts w:asciiTheme="minorHAnsi" w:hAnsiTheme="minorHAnsi" w:cs="Calibri"/>
                <w:sz w:val="20"/>
                <w:szCs w:val="20"/>
                <w:lang w:val="en-US"/>
              </w:rPr>
              <w:t>, lecture</w:t>
            </w:r>
            <w:proofErr w:type="gramStart"/>
            <w:r w:rsidRPr="00676303">
              <w:rPr>
                <w:rFonts w:asciiTheme="minorHAnsi" w:hAnsiTheme="minorHAnsi" w:cs="Calibri"/>
                <w:sz w:val="20"/>
                <w:szCs w:val="20"/>
                <w:lang w:val="en-US"/>
              </w:rPr>
              <w:t>,  questions</w:t>
            </w:r>
            <w:proofErr w:type="gramEnd"/>
            <w:r w:rsidRPr="00676303">
              <w:rPr>
                <w:rFonts w:asciiTheme="minorHAnsi" w:hAnsiTheme="minorHAnsi" w:cs="Calibri"/>
                <w:sz w:val="20"/>
                <w:szCs w:val="20"/>
                <w:lang w:val="en-US"/>
              </w:rPr>
              <w:t xml:space="preserve"> and answer session.</w:t>
            </w:r>
          </w:p>
        </w:tc>
      </w:tr>
      <w:tr w:rsidR="004C0CE1" w:rsidRPr="00676303" w14:paraId="1B8C57E4" w14:textId="77777777" w:rsidTr="00DD79C7">
        <w:trPr>
          <w:trHeight w:val="1468"/>
        </w:trPr>
        <w:tc>
          <w:tcPr>
            <w:tcW w:w="1413" w:type="dxa"/>
            <w:shd w:val="clear" w:color="auto" w:fill="DBE5F1"/>
          </w:tcPr>
          <w:p w14:paraId="4A0AA463" w14:textId="77777777" w:rsidR="004C0CE1" w:rsidRPr="00676303" w:rsidRDefault="004C0CE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7938" w:type="dxa"/>
            <w:shd w:val="clear" w:color="auto" w:fill="auto"/>
          </w:tcPr>
          <w:p w14:paraId="15514BD3" w14:textId="77777777" w:rsidR="004C0CE1" w:rsidRPr="00676303" w:rsidRDefault="004C0CE1"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2 h classroom teaching </w:t>
            </w:r>
          </w:p>
          <w:p w14:paraId="6AD699AB" w14:textId="77777777" w:rsidR="004C0CE1" w:rsidRPr="00676303" w:rsidRDefault="004C0CE1"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Brainstorming </w:t>
            </w:r>
          </w:p>
          <w:p w14:paraId="45D221EB" w14:textId="77777777" w:rsidR="004C0CE1" w:rsidRPr="00676303" w:rsidRDefault="004C0CE1"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Lecture</w:t>
            </w:r>
          </w:p>
          <w:p w14:paraId="296C0452" w14:textId="77777777" w:rsidR="004C0CE1" w:rsidRPr="00676303" w:rsidRDefault="004C0CE1"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Debate</w:t>
            </w:r>
          </w:p>
          <w:p w14:paraId="2FEE905D" w14:textId="77777777" w:rsidR="004C0CE1" w:rsidRPr="00676303" w:rsidRDefault="004C0CE1"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Case studies </w:t>
            </w:r>
          </w:p>
          <w:p w14:paraId="6E24F9B4" w14:textId="77777777" w:rsidR="004C0CE1" w:rsidRPr="00676303" w:rsidRDefault="004C0CE1"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Q&amp;A</w:t>
            </w:r>
          </w:p>
        </w:tc>
      </w:tr>
      <w:tr w:rsidR="004C0CE1" w:rsidRPr="00676303" w14:paraId="6115B810" w14:textId="77777777" w:rsidTr="005B2359">
        <w:tc>
          <w:tcPr>
            <w:tcW w:w="1413" w:type="dxa"/>
            <w:shd w:val="clear" w:color="auto" w:fill="DBE5F1"/>
          </w:tcPr>
          <w:p w14:paraId="72149613" w14:textId="77777777" w:rsidR="004C0CE1" w:rsidRPr="00676303" w:rsidRDefault="004C0CE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Bibliography/Resources</w:t>
            </w:r>
          </w:p>
        </w:tc>
        <w:tc>
          <w:tcPr>
            <w:tcW w:w="7938" w:type="dxa"/>
            <w:shd w:val="clear" w:color="auto" w:fill="auto"/>
          </w:tcPr>
          <w:p w14:paraId="1ACE4559" w14:textId="77777777" w:rsidR="004C0CE1" w:rsidRPr="00676303" w:rsidRDefault="00DD79C7" w:rsidP="00DD79C7">
            <w:pPr>
              <w:spacing w:after="120" w:line="20" w:lineRule="atLeast"/>
              <w:rPr>
                <w:rFonts w:asciiTheme="minorHAnsi" w:hAnsiTheme="minorHAnsi" w:cs="Calibri"/>
                <w:sz w:val="20"/>
                <w:szCs w:val="20"/>
                <w:lang w:val="en-US"/>
              </w:rPr>
            </w:pPr>
            <w:hyperlink r:id="rId6" w:history="1">
              <w:r w:rsidR="004C0CE1" w:rsidRPr="00676303">
                <w:rPr>
                  <w:rStyle w:val="Hyperlink"/>
                  <w:rFonts w:asciiTheme="minorHAnsi" w:hAnsiTheme="minorHAnsi" w:cs="Calibri"/>
                  <w:sz w:val="20"/>
                  <w:szCs w:val="20"/>
                  <w:lang w:val="en-US"/>
                </w:rPr>
                <w:t>http://www.who.int/medicines/areas/quality_safety/guide_on_pain/en/</w:t>
              </w:r>
            </w:hyperlink>
            <w:r w:rsidR="004C0CE1" w:rsidRPr="00676303">
              <w:rPr>
                <w:rFonts w:asciiTheme="minorHAnsi" w:hAnsiTheme="minorHAnsi" w:cs="Calibri"/>
                <w:sz w:val="20"/>
                <w:szCs w:val="20"/>
                <w:lang w:val="en-US"/>
              </w:rPr>
              <w:t xml:space="preserve"> </w:t>
            </w:r>
          </w:p>
          <w:p w14:paraId="76473747" w14:textId="77777777" w:rsidR="004C0CE1" w:rsidRPr="00676303" w:rsidRDefault="00DD79C7" w:rsidP="00DD79C7">
            <w:pPr>
              <w:spacing w:after="120" w:line="20" w:lineRule="atLeast"/>
              <w:rPr>
                <w:rFonts w:asciiTheme="minorHAnsi" w:hAnsiTheme="minorHAnsi" w:cs="Calibri"/>
                <w:sz w:val="20"/>
                <w:szCs w:val="20"/>
                <w:lang w:val="en-US"/>
              </w:rPr>
            </w:pPr>
            <w:hyperlink r:id="rId7" w:history="1">
              <w:r w:rsidR="004C0CE1" w:rsidRPr="00676303">
                <w:rPr>
                  <w:rStyle w:val="Hyperlink"/>
                  <w:rFonts w:asciiTheme="minorHAnsi" w:hAnsiTheme="minorHAnsi" w:cs="Calibri"/>
                  <w:sz w:val="20"/>
                  <w:szCs w:val="20"/>
                  <w:lang w:val="en-US"/>
                </w:rPr>
                <w:t>http://www.paincommunitycentre.org/article/definition-pain</w:t>
              </w:r>
            </w:hyperlink>
            <w:r w:rsidR="004C0CE1" w:rsidRPr="00676303">
              <w:rPr>
                <w:rFonts w:asciiTheme="minorHAnsi" w:hAnsiTheme="minorHAnsi" w:cs="Calibri"/>
                <w:sz w:val="20"/>
                <w:szCs w:val="20"/>
                <w:lang w:val="en-US"/>
              </w:rPr>
              <w:t xml:space="preserve"> </w:t>
            </w:r>
          </w:p>
          <w:p w14:paraId="6E699B00" w14:textId="3A254CF9" w:rsidR="004C0CE1" w:rsidRPr="00676303" w:rsidRDefault="004C0CE1" w:rsidP="00DD79C7">
            <w:pPr>
              <w:shd w:val="clear" w:color="auto" w:fill="FFFFFF"/>
              <w:spacing w:after="120" w:line="20" w:lineRule="atLeast"/>
              <w:rPr>
                <w:rFonts w:asciiTheme="minorHAnsi" w:hAnsiTheme="minorHAnsi" w:cs="Calibri"/>
                <w:sz w:val="20"/>
                <w:szCs w:val="20"/>
                <w:lang w:val="en-US"/>
              </w:rPr>
            </w:pPr>
            <w:proofErr w:type="spellStart"/>
            <w:r w:rsidRPr="00676303">
              <w:rPr>
                <w:rFonts w:asciiTheme="minorHAnsi" w:hAnsiTheme="minorHAnsi" w:cs="Calibri"/>
                <w:sz w:val="20"/>
                <w:szCs w:val="20"/>
                <w:lang w:val="en-US"/>
              </w:rPr>
              <w:t>Krikorian</w:t>
            </w:r>
            <w:proofErr w:type="spellEnd"/>
            <w:r w:rsidRPr="00676303">
              <w:rPr>
                <w:rFonts w:asciiTheme="minorHAnsi" w:hAnsiTheme="minorHAnsi" w:cs="Calibri"/>
                <w:sz w:val="20"/>
                <w:szCs w:val="20"/>
                <w:lang w:val="en-US"/>
              </w:rPr>
              <w:t xml:space="preserve"> Alicia; Joaquin </w:t>
            </w:r>
            <w:proofErr w:type="spellStart"/>
            <w:r w:rsidRPr="00676303">
              <w:rPr>
                <w:rFonts w:asciiTheme="minorHAnsi" w:hAnsiTheme="minorHAnsi" w:cs="Calibri"/>
                <w:sz w:val="20"/>
                <w:szCs w:val="20"/>
                <w:lang w:val="en-US"/>
              </w:rPr>
              <w:t>Limonero</w:t>
            </w:r>
            <w:proofErr w:type="spellEnd"/>
            <w:r w:rsidRPr="00676303">
              <w:rPr>
                <w:rFonts w:asciiTheme="minorHAnsi" w:hAnsiTheme="minorHAnsi" w:cs="Calibri"/>
                <w:sz w:val="20"/>
                <w:szCs w:val="20"/>
                <w:lang w:val="en-US"/>
              </w:rPr>
              <w:t xml:space="preserve">  An Integrated View of Suffering in Palliative Care Journal of Palliative Care;  2012; 28, 1; pg. 41-49 </w:t>
            </w:r>
          </w:p>
          <w:p w14:paraId="646C466F" w14:textId="4406CE50" w:rsidR="004C0CE1" w:rsidRPr="00676303" w:rsidRDefault="004C0CE1" w:rsidP="00DD79C7">
            <w:pPr>
              <w:spacing w:after="120" w:line="20" w:lineRule="atLeast"/>
              <w:rPr>
                <w:rFonts w:asciiTheme="minorHAnsi" w:hAnsiTheme="minorHAnsi" w:cs="Calibri"/>
                <w:sz w:val="20"/>
                <w:szCs w:val="20"/>
                <w:lang w:val="en-US"/>
              </w:rPr>
            </w:pPr>
            <w:proofErr w:type="spellStart"/>
            <w:r w:rsidRPr="00676303">
              <w:rPr>
                <w:rFonts w:asciiTheme="minorHAnsi" w:hAnsiTheme="minorHAnsi" w:cs="Calibri"/>
                <w:sz w:val="20"/>
                <w:szCs w:val="20"/>
                <w:lang w:val="en-US"/>
              </w:rPr>
              <w:t>Govert</w:t>
            </w:r>
            <w:proofErr w:type="spellEnd"/>
            <w:r w:rsidRPr="00676303">
              <w:rPr>
                <w:rFonts w:asciiTheme="minorHAnsi" w:hAnsiTheme="minorHAnsi" w:cs="Calibri"/>
                <w:sz w:val="20"/>
                <w:szCs w:val="20"/>
                <w:lang w:val="en-US"/>
              </w:rPr>
              <w:t xml:space="preserve"> den </w:t>
            </w:r>
            <w:proofErr w:type="spellStart"/>
            <w:r w:rsidRPr="00676303">
              <w:rPr>
                <w:rFonts w:asciiTheme="minorHAnsi" w:hAnsiTheme="minorHAnsi" w:cs="Calibri"/>
                <w:sz w:val="20"/>
                <w:szCs w:val="20"/>
                <w:lang w:val="en-US"/>
              </w:rPr>
              <w:t>Hartogh</w:t>
            </w:r>
            <w:proofErr w:type="spellEnd"/>
            <w:r w:rsidRPr="00676303">
              <w:rPr>
                <w:rFonts w:asciiTheme="minorHAnsi" w:hAnsiTheme="minorHAnsi" w:cs="Calibri"/>
                <w:sz w:val="20"/>
                <w:szCs w:val="20"/>
                <w:lang w:val="en-US"/>
              </w:rPr>
              <w:t xml:space="preserve"> Suffering and Dying well: on the proper aim of palliative care Med Health Care </w:t>
            </w:r>
            <w:proofErr w:type="spellStart"/>
            <w:r w:rsidRPr="00676303">
              <w:rPr>
                <w:rFonts w:asciiTheme="minorHAnsi" w:hAnsiTheme="minorHAnsi" w:cs="Calibri"/>
                <w:sz w:val="20"/>
                <w:szCs w:val="20"/>
                <w:lang w:val="en-US"/>
              </w:rPr>
              <w:t>Philos</w:t>
            </w:r>
            <w:proofErr w:type="spellEnd"/>
            <w:r w:rsidRPr="00676303">
              <w:rPr>
                <w:rFonts w:asciiTheme="minorHAnsi" w:hAnsiTheme="minorHAnsi" w:cs="Calibri"/>
                <w:sz w:val="20"/>
                <w:szCs w:val="20"/>
                <w:lang w:val="en-US"/>
              </w:rPr>
              <w:t xml:space="preserve">: 2017; 20(30:413-424 </w:t>
            </w:r>
            <w:hyperlink r:id="rId8" w:history="1">
              <w:r w:rsidRPr="00676303">
                <w:rPr>
                  <w:rStyle w:val="Hyperlink"/>
                  <w:rFonts w:asciiTheme="minorHAnsi" w:hAnsiTheme="minorHAnsi" w:cs="Calibri"/>
                  <w:sz w:val="20"/>
                  <w:szCs w:val="20"/>
                  <w:lang w:val="en-US"/>
                </w:rPr>
                <w:t>https://www.ncbi.nlm.nih.gov/pmc/articles/PMC5569128/</w:t>
              </w:r>
            </w:hyperlink>
            <w:r w:rsidRPr="00676303">
              <w:rPr>
                <w:rFonts w:asciiTheme="minorHAnsi" w:hAnsiTheme="minorHAnsi" w:cs="Calibri"/>
                <w:sz w:val="20"/>
                <w:szCs w:val="20"/>
                <w:lang w:val="en-US"/>
              </w:rPr>
              <w:t xml:space="preserve"> </w:t>
            </w:r>
          </w:p>
          <w:p w14:paraId="28D6FED8" w14:textId="77777777" w:rsidR="004C0CE1" w:rsidRPr="00676303" w:rsidRDefault="004C0CE1" w:rsidP="00DD79C7">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IAHPC – Manual of palliative care, </w:t>
            </w:r>
            <w:hyperlink r:id="rId9" w:history="1">
              <w:r w:rsidRPr="00676303">
                <w:rPr>
                  <w:rStyle w:val="Hyperlink"/>
                  <w:rFonts w:asciiTheme="minorHAnsi" w:hAnsiTheme="minorHAnsi" w:cs="Calibri"/>
                  <w:sz w:val="20"/>
                  <w:szCs w:val="20"/>
                  <w:lang w:val="en-US"/>
                </w:rPr>
                <w:t>http://www.pacificcancer.org/pacp-resources/palliative-care-cancer-survivorship/iahpc-manual-palliative-care.pdf</w:t>
              </w:r>
            </w:hyperlink>
            <w:r w:rsidRPr="00676303">
              <w:rPr>
                <w:rFonts w:asciiTheme="minorHAnsi" w:hAnsiTheme="minorHAnsi" w:cs="Calibri"/>
                <w:sz w:val="20"/>
                <w:szCs w:val="20"/>
                <w:lang w:val="en-US"/>
              </w:rPr>
              <w:t xml:space="preserve"> </w:t>
            </w:r>
          </w:p>
          <w:p w14:paraId="5AFB7B3C" w14:textId="77777777" w:rsidR="004C0CE1" w:rsidRPr="00676303" w:rsidRDefault="004C0CE1" w:rsidP="00DD79C7">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Robert </w:t>
            </w:r>
            <w:proofErr w:type="spellStart"/>
            <w:r w:rsidRPr="00676303">
              <w:rPr>
                <w:rFonts w:asciiTheme="minorHAnsi" w:hAnsiTheme="minorHAnsi" w:cs="Calibri"/>
                <w:sz w:val="20"/>
                <w:szCs w:val="20"/>
                <w:lang w:val="en-US"/>
              </w:rPr>
              <w:t>Twyncross</w:t>
            </w:r>
            <w:proofErr w:type="spellEnd"/>
            <w:r w:rsidRPr="00676303">
              <w:rPr>
                <w:rFonts w:asciiTheme="minorHAnsi" w:hAnsiTheme="minorHAnsi" w:cs="Calibri"/>
                <w:sz w:val="20"/>
                <w:szCs w:val="20"/>
                <w:lang w:val="en-US"/>
              </w:rPr>
              <w:t xml:space="preserve">, Andrew Wilcock. Symptom management in advanced cancer. Fourth </w:t>
            </w:r>
            <w:proofErr w:type="spellStart"/>
            <w:r w:rsidRPr="00676303">
              <w:rPr>
                <w:rFonts w:asciiTheme="minorHAnsi" w:hAnsiTheme="minorHAnsi" w:cs="Calibri"/>
                <w:sz w:val="20"/>
                <w:szCs w:val="20"/>
                <w:lang w:val="en-US"/>
              </w:rPr>
              <w:t>edition.ISBN</w:t>
            </w:r>
            <w:proofErr w:type="spellEnd"/>
            <w:r w:rsidRPr="00676303">
              <w:rPr>
                <w:rFonts w:asciiTheme="minorHAnsi" w:hAnsiTheme="minorHAnsi" w:cs="Calibri"/>
                <w:sz w:val="20"/>
                <w:szCs w:val="20"/>
                <w:lang w:val="en-US"/>
              </w:rPr>
              <w:t xml:space="preserve"> 978-0-9552547-3-4.</w:t>
            </w:r>
          </w:p>
          <w:p w14:paraId="7CB393AC" w14:textId="77777777" w:rsidR="004C0CE1" w:rsidRPr="00676303" w:rsidRDefault="004C0CE1" w:rsidP="00DD79C7">
            <w:pPr>
              <w:spacing w:after="120" w:line="20" w:lineRule="atLeast"/>
              <w:rPr>
                <w:rFonts w:asciiTheme="minorHAnsi" w:hAnsiTheme="minorHAnsi" w:cs="Calibri"/>
                <w:sz w:val="20"/>
                <w:szCs w:val="20"/>
                <w:lang w:val="en-US"/>
              </w:rPr>
            </w:pPr>
            <w:proofErr w:type="spellStart"/>
            <w:r w:rsidRPr="00676303">
              <w:rPr>
                <w:rFonts w:asciiTheme="minorHAnsi" w:hAnsiTheme="minorHAnsi" w:cs="Calibri"/>
                <w:sz w:val="20"/>
                <w:szCs w:val="20"/>
                <w:lang w:val="en-US"/>
              </w:rPr>
              <w:t>Mosoiu</w:t>
            </w:r>
            <w:proofErr w:type="spellEnd"/>
            <w:r w:rsidRPr="00676303">
              <w:rPr>
                <w:rFonts w:asciiTheme="minorHAnsi" w:hAnsiTheme="minorHAnsi" w:cs="Calibri"/>
                <w:sz w:val="20"/>
                <w:szCs w:val="20"/>
                <w:lang w:val="en-US"/>
              </w:rPr>
              <w:t xml:space="preserve">, Daniela. </w:t>
            </w:r>
            <w:proofErr w:type="spellStart"/>
            <w:r w:rsidRPr="00676303">
              <w:rPr>
                <w:rFonts w:asciiTheme="minorHAnsi" w:hAnsiTheme="minorHAnsi" w:cs="Calibri"/>
                <w:sz w:val="20"/>
                <w:szCs w:val="20"/>
                <w:lang w:val="en-US"/>
              </w:rPr>
              <w:t>Prescrierea</w:t>
            </w:r>
            <w:proofErr w:type="spellEnd"/>
            <w:r w:rsidRPr="00676303">
              <w:rPr>
                <w:rFonts w:asciiTheme="minorHAnsi" w:hAnsiTheme="minorHAnsi" w:cs="Calibri"/>
                <w:sz w:val="20"/>
                <w:szCs w:val="20"/>
                <w:lang w:val="en-US"/>
              </w:rPr>
              <w:t xml:space="preserve"> </w:t>
            </w:r>
            <w:proofErr w:type="spellStart"/>
            <w:r w:rsidRPr="00676303">
              <w:rPr>
                <w:rFonts w:asciiTheme="minorHAnsi" w:hAnsiTheme="minorHAnsi" w:cs="Calibri"/>
                <w:sz w:val="20"/>
                <w:szCs w:val="20"/>
                <w:lang w:val="en-US"/>
              </w:rPr>
              <w:t>si</w:t>
            </w:r>
            <w:proofErr w:type="spellEnd"/>
            <w:r w:rsidRPr="00676303">
              <w:rPr>
                <w:rFonts w:asciiTheme="minorHAnsi" w:hAnsiTheme="minorHAnsi" w:cs="Calibri"/>
                <w:sz w:val="20"/>
                <w:szCs w:val="20"/>
                <w:lang w:val="en-US"/>
              </w:rPr>
              <w:t xml:space="preserve"> </w:t>
            </w:r>
            <w:proofErr w:type="spellStart"/>
            <w:r w:rsidRPr="00676303">
              <w:rPr>
                <w:rFonts w:asciiTheme="minorHAnsi" w:hAnsiTheme="minorHAnsi" w:cs="Calibri"/>
                <w:sz w:val="20"/>
                <w:szCs w:val="20"/>
                <w:lang w:val="en-US"/>
              </w:rPr>
              <w:t>utilizarea</w:t>
            </w:r>
            <w:proofErr w:type="spellEnd"/>
            <w:r w:rsidRPr="00676303">
              <w:rPr>
                <w:rFonts w:asciiTheme="minorHAnsi" w:hAnsiTheme="minorHAnsi" w:cs="Calibri"/>
                <w:sz w:val="20"/>
                <w:szCs w:val="20"/>
                <w:lang w:val="en-US"/>
              </w:rPr>
              <w:t xml:space="preserve"> </w:t>
            </w:r>
            <w:proofErr w:type="spellStart"/>
            <w:r w:rsidRPr="00676303">
              <w:rPr>
                <w:rFonts w:asciiTheme="minorHAnsi" w:hAnsiTheme="minorHAnsi" w:cs="Calibri"/>
                <w:sz w:val="20"/>
                <w:szCs w:val="20"/>
                <w:lang w:val="en-US"/>
              </w:rPr>
              <w:t>opioidelor</w:t>
            </w:r>
            <w:proofErr w:type="spellEnd"/>
            <w:r w:rsidRPr="00676303">
              <w:rPr>
                <w:rFonts w:asciiTheme="minorHAnsi" w:hAnsiTheme="minorHAnsi" w:cs="Calibri"/>
                <w:sz w:val="20"/>
                <w:szCs w:val="20"/>
                <w:lang w:val="en-US"/>
              </w:rPr>
              <w:t xml:space="preserve"> in </w:t>
            </w:r>
            <w:proofErr w:type="spellStart"/>
            <w:r w:rsidRPr="00676303">
              <w:rPr>
                <w:rFonts w:asciiTheme="minorHAnsi" w:hAnsiTheme="minorHAnsi" w:cs="Calibri"/>
                <w:sz w:val="20"/>
                <w:szCs w:val="20"/>
                <w:lang w:val="en-US"/>
              </w:rPr>
              <w:t>managementul</w:t>
            </w:r>
            <w:proofErr w:type="spellEnd"/>
            <w:r w:rsidRPr="00676303">
              <w:rPr>
                <w:rFonts w:asciiTheme="minorHAnsi" w:hAnsiTheme="minorHAnsi" w:cs="Calibri"/>
                <w:sz w:val="20"/>
                <w:szCs w:val="20"/>
                <w:lang w:val="en-US"/>
              </w:rPr>
              <w:t xml:space="preserve"> </w:t>
            </w:r>
            <w:proofErr w:type="spellStart"/>
            <w:r w:rsidRPr="00676303">
              <w:rPr>
                <w:rFonts w:asciiTheme="minorHAnsi" w:hAnsiTheme="minorHAnsi" w:cs="Calibri"/>
                <w:sz w:val="20"/>
                <w:szCs w:val="20"/>
                <w:lang w:val="en-US"/>
              </w:rPr>
              <w:t>durerii</w:t>
            </w:r>
            <w:proofErr w:type="spellEnd"/>
            <w:r w:rsidRPr="00676303">
              <w:rPr>
                <w:rFonts w:asciiTheme="minorHAnsi" w:hAnsiTheme="minorHAnsi" w:cs="Calibri"/>
                <w:sz w:val="20"/>
                <w:szCs w:val="20"/>
                <w:lang w:val="en-US"/>
              </w:rPr>
              <w:t>. Brasov. ed. Ex. Libris 2007. ISBN-978-973-131-008-4</w:t>
            </w:r>
          </w:p>
          <w:p w14:paraId="10351663" w14:textId="77777777" w:rsidR="004C0CE1" w:rsidRPr="00676303" w:rsidRDefault="004C0CE1" w:rsidP="00DD79C7">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Cancer Pain Relief: With a guide to opioid availability. </w:t>
            </w:r>
            <w:hyperlink r:id="rId10" w:history="1">
              <w:r w:rsidRPr="00676303">
                <w:rPr>
                  <w:rStyle w:val="Hyperlink"/>
                  <w:rFonts w:asciiTheme="minorHAnsi" w:hAnsiTheme="minorHAnsi" w:cs="Calibri"/>
                  <w:sz w:val="20"/>
                  <w:szCs w:val="20"/>
                  <w:lang w:val="en-US"/>
                </w:rPr>
                <w:t>http://apps.who.int/iris/bitstream/handle/10665/41973/9242544825.pdf;jsessionid=00D11C920F1BDEEBCBC48AD65C5B0EC4?sequence=1</w:t>
              </w:r>
            </w:hyperlink>
            <w:r w:rsidRPr="00676303">
              <w:rPr>
                <w:rFonts w:asciiTheme="minorHAnsi" w:hAnsiTheme="minorHAnsi" w:cs="Calibri"/>
                <w:sz w:val="20"/>
                <w:szCs w:val="20"/>
                <w:lang w:val="en-US"/>
              </w:rPr>
              <w:t xml:space="preserve">    </w:t>
            </w:r>
          </w:p>
          <w:p w14:paraId="5FA892D4" w14:textId="56C400C8" w:rsidR="004C0CE1" w:rsidRPr="00676303" w:rsidRDefault="004C0CE1" w:rsidP="00DD79C7">
            <w:pPr>
              <w:spacing w:after="120" w:line="20" w:lineRule="atLeast"/>
              <w:rPr>
                <w:rFonts w:asciiTheme="minorHAnsi" w:hAnsiTheme="minorHAnsi" w:cs="Calibri"/>
                <w:sz w:val="20"/>
                <w:szCs w:val="20"/>
                <w:lang w:val="en-US"/>
              </w:rPr>
            </w:pPr>
            <w:bookmarkStart w:id="0" w:name="_GoBack"/>
            <w:bookmarkEnd w:id="0"/>
            <w:r w:rsidRPr="00676303">
              <w:rPr>
                <w:rFonts w:asciiTheme="minorHAnsi" w:hAnsiTheme="minorHAnsi" w:cs="Calibri"/>
                <w:sz w:val="20"/>
                <w:szCs w:val="20"/>
                <w:lang w:val="en-US"/>
              </w:rPr>
              <w:t xml:space="preserve">Global Atlas of Pallative Care at the end of life, </w:t>
            </w:r>
            <w:hyperlink r:id="rId11" w:history="1">
              <w:r w:rsidRPr="00676303">
                <w:rPr>
                  <w:rStyle w:val="Hyperlink"/>
                  <w:rFonts w:asciiTheme="minorHAnsi" w:hAnsiTheme="minorHAnsi" w:cs="Calibri"/>
                  <w:sz w:val="20"/>
                  <w:szCs w:val="20"/>
                  <w:lang w:val="en-US"/>
                </w:rPr>
                <w:t>http://www.who.int/nmh/Global_Atlas_of_Palliative_Care.pdf</w:t>
              </w:r>
            </w:hyperlink>
            <w:r w:rsidRPr="00676303">
              <w:rPr>
                <w:rFonts w:asciiTheme="minorHAnsi" w:hAnsiTheme="minorHAnsi" w:cs="Calibri"/>
                <w:sz w:val="20"/>
                <w:szCs w:val="20"/>
                <w:lang w:val="en-US"/>
              </w:rPr>
              <w:t xml:space="preserve"> </w:t>
            </w:r>
          </w:p>
        </w:tc>
      </w:tr>
    </w:tbl>
    <w:p w14:paraId="51EE101C"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04F9D"/>
    <w:multiLevelType w:val="hybridMultilevel"/>
    <w:tmpl w:val="1A8A8778"/>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3D009FB"/>
    <w:multiLevelType w:val="hybridMultilevel"/>
    <w:tmpl w:val="3B687F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11B6410"/>
    <w:multiLevelType w:val="hybridMultilevel"/>
    <w:tmpl w:val="ED965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AB4056E"/>
    <w:multiLevelType w:val="hybridMultilevel"/>
    <w:tmpl w:val="1D744380"/>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CE1"/>
    <w:rsid w:val="004C0CE1"/>
    <w:rsid w:val="006F184C"/>
    <w:rsid w:val="00DD7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3B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CE1"/>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0CE1"/>
    <w:pPr>
      <w:spacing w:after="200" w:line="276" w:lineRule="auto"/>
      <w:ind w:left="720"/>
      <w:contextualSpacing/>
    </w:pPr>
    <w:rPr>
      <w:lang w:val="ro-RO"/>
    </w:rPr>
  </w:style>
  <w:style w:type="character" w:styleId="Hyperlink">
    <w:name w:val="Hyperlink"/>
    <w:basedOn w:val="DefaultParagraphFont"/>
    <w:uiPriority w:val="99"/>
    <w:unhideWhenUsed/>
    <w:rsid w:val="004C0CE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CE1"/>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0CE1"/>
    <w:pPr>
      <w:spacing w:after="200" w:line="276" w:lineRule="auto"/>
      <w:ind w:left="720"/>
      <w:contextualSpacing/>
    </w:pPr>
    <w:rPr>
      <w:lang w:val="ro-RO"/>
    </w:rPr>
  </w:style>
  <w:style w:type="character" w:styleId="Hyperlink">
    <w:name w:val="Hyperlink"/>
    <w:basedOn w:val="DefaultParagraphFont"/>
    <w:uiPriority w:val="99"/>
    <w:unhideWhenUsed/>
    <w:rsid w:val="004C0C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5569128/"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paincommunitycentre.org/article/definition-pa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ho.int/medicines/areas/quality_safety/guide_on_pain/en/" TargetMode="External"/><Relationship Id="rId11" Type="http://schemas.openxmlformats.org/officeDocument/2006/relationships/hyperlink" Target="http://www.who.int/nmh/Global_Atlas_of_Palliative_Care.pdf" TargetMode="External"/><Relationship Id="rId5" Type="http://schemas.openxmlformats.org/officeDocument/2006/relationships/webSettings" Target="webSettings.xml"/><Relationship Id="rId10" Type="http://schemas.openxmlformats.org/officeDocument/2006/relationships/hyperlink" Target="http://apps.who.int/iris/bitstream/handle/10665/41973/9242544825.pdf;jsessionid=00D11C920F1BDEEBCBC48AD65C5B0EC4?sequence=1" TargetMode="External"/><Relationship Id="rId4" Type="http://schemas.openxmlformats.org/officeDocument/2006/relationships/settings" Target="settings.xml"/><Relationship Id="rId9" Type="http://schemas.openxmlformats.org/officeDocument/2006/relationships/hyperlink" Target="http://www.pacificcancer.org/pacp-resources/palliative-care-cancer-survivorship/iahpc-manual-palliative-car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448</Words>
  <Characters>2554</Characters>
  <Application>Microsoft Office Word</Application>
  <DocSecurity>0</DocSecurity>
  <Lines>21</Lines>
  <Paragraphs>5</Paragraphs>
  <ScaleCrop>false</ScaleCrop>
  <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2</cp:revision>
  <dcterms:created xsi:type="dcterms:W3CDTF">2020-02-17T10:15:00Z</dcterms:created>
  <dcterms:modified xsi:type="dcterms:W3CDTF">2020-02-19T14:12:00Z</dcterms:modified>
</cp:coreProperties>
</file>