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938"/>
      </w:tblGrid>
      <w:tr w:rsidR="001208BE" w:rsidRPr="00676303" w14:paraId="57448FA2" w14:textId="77777777" w:rsidTr="005B2359">
        <w:tc>
          <w:tcPr>
            <w:tcW w:w="9351" w:type="dxa"/>
            <w:gridSpan w:val="2"/>
            <w:shd w:val="clear" w:color="auto" w:fill="DBE5F1"/>
          </w:tcPr>
          <w:p w14:paraId="22EF7412" w14:textId="77777777" w:rsidR="001208BE" w:rsidRPr="00676303" w:rsidRDefault="001208BE" w:rsidP="005B2359">
            <w:pPr>
              <w:spacing w:after="0" w:line="20" w:lineRule="atLeast"/>
              <w:jc w:val="center"/>
              <w:rPr>
                <w:rFonts w:asciiTheme="minorHAnsi" w:hAnsiTheme="minorHAnsi" w:cs="Calibri"/>
                <w:b/>
                <w:i/>
                <w:sz w:val="20"/>
                <w:szCs w:val="20"/>
                <w:lang w:val="en-US"/>
              </w:rPr>
            </w:pPr>
            <w:r w:rsidRPr="00676303">
              <w:rPr>
                <w:rFonts w:asciiTheme="minorHAnsi" w:hAnsiTheme="minorHAnsi" w:cs="Calibri"/>
                <w:b/>
                <w:i/>
                <w:sz w:val="20"/>
                <w:szCs w:val="20"/>
                <w:lang w:val="en-US"/>
              </w:rPr>
              <w:t>Lesson Plan</w:t>
            </w:r>
          </w:p>
        </w:tc>
      </w:tr>
      <w:tr w:rsidR="001208BE" w:rsidRPr="00676303" w14:paraId="7EFE8CE2" w14:textId="77777777" w:rsidTr="005B2359">
        <w:tc>
          <w:tcPr>
            <w:tcW w:w="1413" w:type="dxa"/>
            <w:shd w:val="clear" w:color="auto" w:fill="DBE5F1"/>
          </w:tcPr>
          <w:p w14:paraId="7C47236C" w14:textId="77777777" w:rsidR="001208BE" w:rsidRPr="00676303" w:rsidRDefault="001208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Topic</w:t>
            </w:r>
          </w:p>
        </w:tc>
        <w:tc>
          <w:tcPr>
            <w:tcW w:w="7938" w:type="dxa"/>
            <w:shd w:val="clear" w:color="auto" w:fill="auto"/>
          </w:tcPr>
          <w:p w14:paraId="5026E3D0" w14:textId="77777777" w:rsidR="001208BE" w:rsidRPr="00676303" w:rsidRDefault="001208BE" w:rsidP="005B2359">
            <w:pPr>
              <w:spacing w:after="0" w:line="20" w:lineRule="atLeast"/>
              <w:rPr>
                <w:rFonts w:asciiTheme="minorHAnsi" w:hAnsiTheme="minorHAnsi" w:cs="Calibri"/>
                <w:sz w:val="20"/>
                <w:szCs w:val="20"/>
                <w:lang w:val="en-US"/>
              </w:rPr>
            </w:pPr>
            <w:r w:rsidRPr="00676303">
              <w:rPr>
                <w:rFonts w:asciiTheme="minorHAnsi" w:eastAsia="Times New Roman" w:hAnsiTheme="minorHAnsi" w:cstheme="minorHAnsi"/>
                <w:sz w:val="20"/>
                <w:szCs w:val="20"/>
                <w:lang w:val="en-US" w:eastAsia="en-GB"/>
              </w:rPr>
              <w:t>Pain Assessment and Management</w:t>
            </w:r>
          </w:p>
        </w:tc>
      </w:tr>
      <w:tr w:rsidR="001208BE" w:rsidRPr="00676303" w14:paraId="54D5CDF6" w14:textId="77777777" w:rsidTr="005B2359">
        <w:tc>
          <w:tcPr>
            <w:tcW w:w="1413" w:type="dxa"/>
            <w:shd w:val="clear" w:color="auto" w:fill="DBE5F1"/>
          </w:tcPr>
          <w:p w14:paraId="066FB0A4" w14:textId="77777777" w:rsidR="001208BE" w:rsidRPr="00676303" w:rsidRDefault="001208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7938" w:type="dxa"/>
            <w:shd w:val="clear" w:color="auto" w:fill="auto"/>
          </w:tcPr>
          <w:p w14:paraId="05D844D8" w14:textId="77777777" w:rsidR="001208BE" w:rsidRPr="00676303" w:rsidRDefault="001208BE" w:rsidP="005B2359">
            <w:pPr>
              <w:spacing w:after="0" w:line="20" w:lineRule="atLeast"/>
              <w:rPr>
                <w:rFonts w:asciiTheme="minorHAnsi" w:hAnsiTheme="minorHAnsi" w:cs="Calibri"/>
                <w:sz w:val="20"/>
                <w:szCs w:val="20"/>
                <w:lang w:val="en-US"/>
              </w:rPr>
            </w:pPr>
            <w:r w:rsidRPr="00676303">
              <w:rPr>
                <w:rFonts w:asciiTheme="minorHAnsi" w:eastAsia="Times New Roman" w:hAnsiTheme="minorHAnsi" w:cstheme="minorHAnsi"/>
                <w:b/>
                <w:sz w:val="20"/>
                <w:szCs w:val="20"/>
                <w:lang w:val="en-US" w:eastAsia="en-GB"/>
              </w:rPr>
              <w:t>Pain Pathophysiology, Classification and Measurement</w:t>
            </w:r>
          </w:p>
        </w:tc>
      </w:tr>
      <w:tr w:rsidR="001208BE" w:rsidRPr="00676303" w14:paraId="605AAF05" w14:textId="77777777" w:rsidTr="005B2359">
        <w:tc>
          <w:tcPr>
            <w:tcW w:w="1413" w:type="dxa"/>
            <w:shd w:val="clear" w:color="auto" w:fill="DBE5F1"/>
          </w:tcPr>
          <w:p w14:paraId="294B38C0" w14:textId="77777777" w:rsidR="001208BE" w:rsidRPr="00676303" w:rsidRDefault="001208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Learning Outcome </w:t>
            </w:r>
          </w:p>
        </w:tc>
        <w:tc>
          <w:tcPr>
            <w:tcW w:w="7938" w:type="dxa"/>
            <w:shd w:val="clear" w:color="auto" w:fill="auto"/>
          </w:tcPr>
          <w:p w14:paraId="45CCE42F" w14:textId="77777777" w:rsidR="001208BE" w:rsidRPr="00676303" w:rsidRDefault="001208BE" w:rsidP="005B2359">
            <w:pPr>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sz w:val="20"/>
                <w:szCs w:val="20"/>
                <w:lang w:val="en-US" w:eastAsia="en-GB"/>
              </w:rPr>
              <w:t xml:space="preserve">Develop clinical skills and competencies in complete and correct pain assessment </w:t>
            </w:r>
          </w:p>
        </w:tc>
      </w:tr>
      <w:tr w:rsidR="001208BE" w:rsidRPr="00676303" w14:paraId="621C5F07" w14:textId="77777777" w:rsidTr="005B2359">
        <w:tc>
          <w:tcPr>
            <w:tcW w:w="1413" w:type="dxa"/>
            <w:shd w:val="clear" w:color="auto" w:fill="DBE5F1"/>
          </w:tcPr>
          <w:p w14:paraId="11F94BC1" w14:textId="77777777" w:rsidR="001208BE" w:rsidRPr="00676303" w:rsidRDefault="001208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7938" w:type="dxa"/>
            <w:shd w:val="clear" w:color="auto" w:fill="auto"/>
          </w:tcPr>
          <w:p w14:paraId="23DBE509" w14:textId="77777777" w:rsidR="001208BE" w:rsidRPr="00676303" w:rsidRDefault="001208BE" w:rsidP="005B2359">
            <w:pPr>
              <w:spacing w:after="0" w:line="20" w:lineRule="atLeast"/>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 xml:space="preserve">This session prepares undergraduate students to discuss about pathophysiology, classification and measurement of pain. An overview of pain pathways is presented. The ascending and descending pathways are described. The classification of pain according with mechanism of pain is presented and this will be helpful to guide assessment and treatment. Pain intensity can be described as: mild, moderate and severe. </w:t>
            </w:r>
          </w:p>
          <w:p w14:paraId="45EE4D68" w14:textId="77777777" w:rsidR="001208BE" w:rsidRPr="00676303" w:rsidRDefault="001208BE" w:rsidP="005B2359">
            <w:pPr>
              <w:spacing w:after="0" w:line="20" w:lineRule="atLeast"/>
              <w:rPr>
                <w:rFonts w:asciiTheme="minorHAnsi" w:hAnsiTheme="minorHAnsi"/>
                <w:sz w:val="20"/>
                <w:szCs w:val="20"/>
                <w:lang w:val="en-US"/>
              </w:rPr>
            </w:pPr>
            <w:r w:rsidRPr="00676303">
              <w:rPr>
                <w:rFonts w:asciiTheme="minorHAnsi" w:eastAsiaTheme="minorHAnsi" w:hAnsiTheme="minorHAnsi" w:cstheme="minorHAnsi"/>
                <w:sz w:val="20"/>
                <w:szCs w:val="20"/>
                <w:lang w:val="en-US"/>
              </w:rPr>
              <w:t>By understanding the pathways of pain, treatment of pain will be improved.</w:t>
            </w:r>
          </w:p>
        </w:tc>
      </w:tr>
      <w:tr w:rsidR="001208BE" w:rsidRPr="00676303" w14:paraId="0B77FAB6" w14:textId="77777777" w:rsidTr="00553784">
        <w:trPr>
          <w:trHeight w:val="3502"/>
        </w:trPr>
        <w:tc>
          <w:tcPr>
            <w:tcW w:w="1413" w:type="dxa"/>
            <w:shd w:val="clear" w:color="auto" w:fill="DBE5F1"/>
          </w:tcPr>
          <w:p w14:paraId="75767DFC" w14:textId="77777777" w:rsidR="001208BE" w:rsidRPr="00676303" w:rsidRDefault="001208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5DCC22B5" w14:textId="77777777" w:rsidR="001208BE" w:rsidRPr="00676303" w:rsidRDefault="001208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Cognition  </w:t>
            </w:r>
          </w:p>
          <w:p w14:paraId="7B5C64D3" w14:textId="77777777" w:rsidR="001208BE" w:rsidRPr="00676303" w:rsidRDefault="001208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2294E226" w14:textId="77777777" w:rsidR="001208BE" w:rsidRPr="00676303" w:rsidRDefault="001208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44B48A12" w14:textId="77777777" w:rsidR="001208BE" w:rsidRPr="00676303" w:rsidRDefault="001208BE" w:rsidP="005B2359">
            <w:pPr>
              <w:spacing w:after="0" w:line="20" w:lineRule="atLeast"/>
              <w:rPr>
                <w:rFonts w:asciiTheme="minorHAnsi" w:hAnsiTheme="minorHAnsi" w:cs="Calibri"/>
                <w:b/>
                <w:sz w:val="20"/>
                <w:szCs w:val="20"/>
                <w:lang w:val="en-US"/>
              </w:rPr>
            </w:pPr>
          </w:p>
        </w:tc>
        <w:tc>
          <w:tcPr>
            <w:tcW w:w="7938" w:type="dxa"/>
            <w:shd w:val="clear" w:color="auto" w:fill="auto"/>
          </w:tcPr>
          <w:p w14:paraId="5D21AC34" w14:textId="77777777" w:rsidR="001208BE" w:rsidRPr="00676303" w:rsidRDefault="001208BE" w:rsidP="005B2359">
            <w:pPr>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Cognition:</w:t>
            </w:r>
          </w:p>
          <w:p w14:paraId="6FD834A8" w14:textId="77777777" w:rsidR="001208BE" w:rsidRPr="00676303" w:rsidRDefault="001208BE"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Differentiates pain types: acute, chronic, nociceptive, neuropathic</w:t>
            </w:r>
          </w:p>
          <w:p w14:paraId="54691534" w14:textId="77777777" w:rsidR="001208BE" w:rsidRPr="00676303" w:rsidRDefault="001208BE"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 xml:space="preserve">Recognize common features of  visceral, somatic and neuropathic pain </w:t>
            </w:r>
          </w:p>
          <w:p w14:paraId="5E5F559D" w14:textId="77777777" w:rsidR="001208BE" w:rsidRPr="00676303" w:rsidRDefault="001208BE"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 xml:space="preserve">Describe common mechanisms of pain; receptors, pathways of pain transmission and modulation, nervous centers </w:t>
            </w:r>
          </w:p>
          <w:p w14:paraId="44F20C85" w14:textId="2B90D0E9" w:rsidR="001208BE" w:rsidRPr="00553784" w:rsidRDefault="001208BE" w:rsidP="00553784">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 xml:space="preserve">Discuss the principles of multidimensional assessment of pain </w:t>
            </w:r>
          </w:p>
          <w:p w14:paraId="14D71B3E" w14:textId="77777777" w:rsidR="001208BE" w:rsidRPr="00676303" w:rsidRDefault="001208BE" w:rsidP="005B2359">
            <w:pPr>
              <w:spacing w:after="0" w:line="20" w:lineRule="atLeast"/>
              <w:ind w:right="5564"/>
              <w:rPr>
                <w:rFonts w:asciiTheme="minorHAnsi" w:hAnsiTheme="minorHAnsi" w:cs="Calibri"/>
                <w:sz w:val="20"/>
                <w:szCs w:val="20"/>
                <w:lang w:val="en-US"/>
              </w:rPr>
            </w:pPr>
            <w:r w:rsidRPr="00676303">
              <w:rPr>
                <w:rFonts w:asciiTheme="minorHAnsi" w:hAnsiTheme="minorHAnsi" w:cs="Calibri"/>
                <w:sz w:val="20"/>
                <w:szCs w:val="20"/>
                <w:lang w:val="en-US"/>
              </w:rPr>
              <w:t>Skills:</w:t>
            </w:r>
          </w:p>
          <w:p w14:paraId="1B3CD398" w14:textId="77777777" w:rsidR="001208BE" w:rsidRPr="00676303" w:rsidRDefault="001208BE" w:rsidP="005B2359">
            <w:pPr>
              <w:pStyle w:val="ListParagraph"/>
              <w:numPr>
                <w:ilvl w:val="0"/>
                <w:numId w:val="5"/>
              </w:numPr>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 xml:space="preserve">Use validated pain assessment tools / scales also  in children and </w:t>
            </w:r>
            <w:r w:rsidRPr="00676303">
              <w:rPr>
                <w:rStyle w:val="shorttext"/>
                <w:rFonts w:asciiTheme="minorHAnsi" w:hAnsiTheme="minorHAnsi"/>
                <w:sz w:val="20"/>
                <w:szCs w:val="20"/>
                <w:lang w:val="en-US"/>
              </w:rPr>
              <w:t>patients with cognitive impairment</w:t>
            </w:r>
          </w:p>
          <w:p w14:paraId="771EE840" w14:textId="711E72B1" w:rsidR="001208BE" w:rsidRPr="00553784" w:rsidRDefault="001208BE" w:rsidP="00553784">
            <w:pPr>
              <w:pStyle w:val="ListParagraph"/>
              <w:numPr>
                <w:ilvl w:val="0"/>
                <w:numId w:val="5"/>
              </w:numPr>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Demonstrates how to carry out a pain assessment / Formulate pain diagnosis statement</w:t>
            </w:r>
          </w:p>
          <w:p w14:paraId="77C0CE71" w14:textId="77777777" w:rsidR="001208BE" w:rsidRPr="00676303" w:rsidRDefault="001208BE" w:rsidP="005B2359">
            <w:pPr>
              <w:tabs>
                <w:tab w:val="left" w:pos="176"/>
              </w:tabs>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Attitudes</w:t>
            </w:r>
          </w:p>
          <w:p w14:paraId="7458BDD8" w14:textId="6B16F6AB" w:rsidR="001208BE" w:rsidRPr="00553784" w:rsidRDefault="001208BE" w:rsidP="005B2359">
            <w:pPr>
              <w:numPr>
                <w:ilvl w:val="0"/>
                <w:numId w:val="6"/>
              </w:numPr>
              <w:spacing w:after="0" w:line="20" w:lineRule="atLeast"/>
              <w:ind w:left="1097"/>
              <w:contextualSpacing/>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Reflect on how chronic pain affects the patient’s quality of life and the ne</w:t>
            </w:r>
            <w:r w:rsidR="00553784">
              <w:rPr>
                <w:rFonts w:asciiTheme="minorHAnsi" w:eastAsia="Times New Roman" w:hAnsiTheme="minorHAnsi" w:cstheme="minorHAnsi"/>
                <w:sz w:val="20"/>
                <w:szCs w:val="20"/>
                <w:lang w:val="en-US" w:eastAsia="en-GB"/>
              </w:rPr>
              <w:t>ed for comprehensive assessment</w:t>
            </w:r>
          </w:p>
        </w:tc>
      </w:tr>
      <w:tr w:rsidR="001208BE" w:rsidRPr="00676303" w14:paraId="73B88720" w14:textId="77777777" w:rsidTr="005B2359">
        <w:tc>
          <w:tcPr>
            <w:tcW w:w="1413" w:type="dxa"/>
            <w:shd w:val="clear" w:color="auto" w:fill="DBE5F1"/>
          </w:tcPr>
          <w:p w14:paraId="14D9D9AF" w14:textId="77777777" w:rsidR="001208BE" w:rsidRPr="00676303" w:rsidRDefault="001208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7938" w:type="dxa"/>
            <w:shd w:val="clear" w:color="auto" w:fill="auto"/>
          </w:tcPr>
          <w:p w14:paraId="0480BF95" w14:textId="77777777" w:rsidR="001208BE" w:rsidRPr="00676303" w:rsidRDefault="001208BE" w:rsidP="00553784">
            <w:pPr>
              <w:spacing w:after="0" w:line="20" w:lineRule="atLeast"/>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Online training  2h ; Classroom teaching 1h Bed side training/ Seminar 2 h</w:t>
            </w:r>
          </w:p>
          <w:p w14:paraId="5A4262A9" w14:textId="77777777" w:rsidR="001208BE" w:rsidRPr="00676303" w:rsidRDefault="001208BE" w:rsidP="005B2359">
            <w:pPr>
              <w:spacing w:after="0" w:line="20" w:lineRule="atLeast"/>
              <w:ind w:left="720"/>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 xml:space="preserve"> - Icebreaker </w:t>
            </w:r>
          </w:p>
          <w:p w14:paraId="3FCFDBB0" w14:textId="77777777" w:rsidR="001208BE" w:rsidRPr="00676303" w:rsidRDefault="001208BE" w:rsidP="005B2359">
            <w:pPr>
              <w:spacing w:after="0" w:line="20" w:lineRule="atLeast"/>
              <w:ind w:left="720"/>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 xml:space="preserve">- Individual exercises and flipchart list </w:t>
            </w:r>
          </w:p>
          <w:p w14:paraId="242BD72A" w14:textId="77777777" w:rsidR="001208BE" w:rsidRPr="00676303" w:rsidRDefault="001208BE" w:rsidP="005B2359">
            <w:pPr>
              <w:spacing w:after="0" w:line="20" w:lineRule="atLeast"/>
              <w:ind w:left="720"/>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 Case studies</w:t>
            </w:r>
          </w:p>
          <w:p w14:paraId="40EA3322" w14:textId="77777777" w:rsidR="001208BE" w:rsidRPr="00676303" w:rsidRDefault="001208BE" w:rsidP="005B2359">
            <w:pPr>
              <w:spacing w:after="0" w:line="20" w:lineRule="atLeast"/>
              <w:ind w:left="720"/>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 Lecture</w:t>
            </w:r>
          </w:p>
        </w:tc>
      </w:tr>
      <w:tr w:rsidR="001208BE" w:rsidRPr="00676303" w14:paraId="6931856C" w14:textId="77777777" w:rsidTr="005B2359">
        <w:trPr>
          <w:trHeight w:val="983"/>
        </w:trPr>
        <w:tc>
          <w:tcPr>
            <w:tcW w:w="1413" w:type="dxa"/>
            <w:shd w:val="clear" w:color="auto" w:fill="DBE5F1"/>
          </w:tcPr>
          <w:p w14:paraId="0924C66C" w14:textId="77777777" w:rsidR="001208BE" w:rsidRPr="00676303" w:rsidRDefault="001208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7938" w:type="dxa"/>
            <w:shd w:val="clear" w:color="auto" w:fill="auto"/>
          </w:tcPr>
          <w:p w14:paraId="62DCD102" w14:textId="77777777" w:rsidR="001208BE" w:rsidRPr="00676303" w:rsidRDefault="001208BE" w:rsidP="005B2359">
            <w:pPr>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hAnsiTheme="minorHAnsi" w:cs="Calibri"/>
                <w:sz w:val="20"/>
                <w:szCs w:val="20"/>
                <w:lang w:val="en-US"/>
              </w:rPr>
              <w:t xml:space="preserve">Total 4.5 </w:t>
            </w:r>
            <w:proofErr w:type="spellStart"/>
            <w:r w:rsidRPr="00676303">
              <w:rPr>
                <w:rFonts w:asciiTheme="minorHAnsi" w:hAnsiTheme="minorHAnsi" w:cs="Calibri"/>
                <w:sz w:val="20"/>
                <w:szCs w:val="20"/>
                <w:lang w:val="en-US"/>
              </w:rPr>
              <w:t>hr</w:t>
            </w:r>
            <w:r w:rsidRPr="00676303">
              <w:rPr>
                <w:rFonts w:asciiTheme="minorHAnsi" w:eastAsia="Times New Roman" w:hAnsiTheme="minorHAnsi" w:cstheme="minorHAnsi"/>
                <w:color w:val="000000"/>
                <w:sz w:val="20"/>
                <w:szCs w:val="20"/>
                <w:lang w:val="en-US" w:eastAsia="en-GB"/>
              </w:rPr>
              <w:t>s</w:t>
            </w:r>
            <w:proofErr w:type="spellEnd"/>
          </w:p>
          <w:p w14:paraId="4C4B2745" w14:textId="77777777" w:rsidR="001208BE" w:rsidRPr="00676303" w:rsidRDefault="001208BE" w:rsidP="005B2359">
            <w:pPr>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 xml:space="preserve">Before theoretical class students will do module 3 and 4 of the Pain </w:t>
            </w:r>
            <w:r w:rsidRPr="00676303">
              <w:rPr>
                <w:rFonts w:asciiTheme="minorHAnsi" w:eastAsia="Times New Roman" w:hAnsiTheme="minorHAnsi" w:cstheme="minorHAnsi"/>
                <w:b/>
                <w:color w:val="000000"/>
                <w:sz w:val="20"/>
                <w:szCs w:val="20"/>
                <w:lang w:val="en-US" w:eastAsia="en-GB"/>
              </w:rPr>
              <w:t xml:space="preserve">online course  1,5 </w:t>
            </w:r>
            <w:proofErr w:type="spellStart"/>
            <w:r w:rsidRPr="00676303">
              <w:rPr>
                <w:rFonts w:asciiTheme="minorHAnsi" w:eastAsia="Times New Roman" w:hAnsiTheme="minorHAnsi" w:cstheme="minorHAnsi"/>
                <w:b/>
                <w:color w:val="000000"/>
                <w:sz w:val="20"/>
                <w:szCs w:val="20"/>
                <w:lang w:val="en-US" w:eastAsia="en-GB"/>
              </w:rPr>
              <w:t>hrs</w:t>
            </w:r>
            <w:proofErr w:type="spellEnd"/>
            <w:r w:rsidRPr="00676303">
              <w:rPr>
                <w:rFonts w:asciiTheme="minorHAnsi" w:eastAsia="Times New Roman" w:hAnsiTheme="minorHAnsi" w:cstheme="minorHAnsi"/>
                <w:color w:val="000000"/>
                <w:sz w:val="20"/>
                <w:szCs w:val="20"/>
                <w:lang w:val="en-US" w:eastAsia="en-GB"/>
              </w:rPr>
              <w:t xml:space="preserve"> </w:t>
            </w:r>
          </w:p>
          <w:p w14:paraId="7A2E7155" w14:textId="77777777" w:rsidR="001208BE" w:rsidRPr="00676303" w:rsidRDefault="001208BE" w:rsidP="005B2359">
            <w:pPr>
              <w:spacing w:after="0" w:line="20" w:lineRule="atLeast"/>
              <w:rPr>
                <w:rFonts w:asciiTheme="minorHAnsi" w:eastAsia="Times New Roman" w:hAnsiTheme="minorHAnsi" w:cstheme="minorHAnsi"/>
                <w:b/>
                <w:color w:val="000000"/>
                <w:sz w:val="20"/>
                <w:szCs w:val="20"/>
                <w:lang w:val="en-US" w:eastAsia="en-GB"/>
              </w:rPr>
            </w:pPr>
            <w:r w:rsidRPr="00676303">
              <w:rPr>
                <w:rFonts w:asciiTheme="minorHAnsi" w:eastAsia="Times New Roman" w:hAnsiTheme="minorHAnsi" w:cstheme="minorHAnsi"/>
                <w:b/>
                <w:color w:val="000000"/>
                <w:sz w:val="20"/>
                <w:szCs w:val="20"/>
                <w:lang w:val="en-US" w:eastAsia="en-GB"/>
              </w:rPr>
              <w:t xml:space="preserve">Classroom teaching 1 </w:t>
            </w:r>
            <w:proofErr w:type="spellStart"/>
            <w:r w:rsidRPr="00676303">
              <w:rPr>
                <w:rFonts w:asciiTheme="minorHAnsi" w:eastAsia="Times New Roman" w:hAnsiTheme="minorHAnsi" w:cstheme="minorHAnsi"/>
                <w:b/>
                <w:color w:val="000000"/>
                <w:sz w:val="20"/>
                <w:szCs w:val="20"/>
                <w:lang w:val="en-US" w:eastAsia="en-GB"/>
              </w:rPr>
              <w:t>hrs</w:t>
            </w:r>
            <w:proofErr w:type="spellEnd"/>
          </w:p>
          <w:p w14:paraId="62BEBFF7" w14:textId="77777777" w:rsidR="001208BE" w:rsidRPr="00676303" w:rsidRDefault="001208BE" w:rsidP="005B2359">
            <w:pPr>
              <w:pStyle w:val="ListParagraph"/>
              <w:numPr>
                <w:ilvl w:val="0"/>
                <w:numId w:val="8"/>
              </w:numPr>
              <w:spacing w:after="0" w:line="20" w:lineRule="atLeast"/>
              <w:ind w:left="742"/>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icebreaker </w:t>
            </w:r>
          </w:p>
          <w:p w14:paraId="4AD74AC2" w14:textId="77777777" w:rsidR="001208BE" w:rsidRPr="00676303" w:rsidRDefault="001208BE" w:rsidP="005B2359">
            <w:pPr>
              <w:pStyle w:val="ListParagraph"/>
              <w:numPr>
                <w:ilvl w:val="0"/>
                <w:numId w:val="8"/>
              </w:numPr>
              <w:spacing w:after="0" w:line="20" w:lineRule="atLeast"/>
              <w:ind w:left="742"/>
              <w:rPr>
                <w:rFonts w:asciiTheme="minorHAnsi" w:hAnsiTheme="minorHAnsi" w:cstheme="minorHAnsi"/>
                <w:sz w:val="20"/>
                <w:szCs w:val="20"/>
                <w:lang w:val="en-US"/>
              </w:rPr>
            </w:pPr>
            <w:r w:rsidRPr="00676303">
              <w:rPr>
                <w:rFonts w:asciiTheme="minorHAnsi" w:hAnsiTheme="minorHAnsi" w:cstheme="minorHAnsi"/>
                <w:sz w:val="20"/>
                <w:szCs w:val="20"/>
                <w:lang w:val="en-US"/>
              </w:rPr>
              <w:t>lecture</w:t>
            </w:r>
          </w:p>
          <w:p w14:paraId="405BE11F" w14:textId="77777777" w:rsidR="001208BE" w:rsidRPr="00676303" w:rsidRDefault="001208BE" w:rsidP="005B2359">
            <w:pPr>
              <w:pStyle w:val="ListParagraph"/>
              <w:numPr>
                <w:ilvl w:val="0"/>
                <w:numId w:val="8"/>
              </w:numPr>
              <w:spacing w:after="0" w:line="20" w:lineRule="atLeast"/>
              <w:ind w:left="742"/>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film </w:t>
            </w:r>
          </w:p>
          <w:p w14:paraId="1FD84AA4" w14:textId="77777777" w:rsidR="001208BE" w:rsidRPr="00676303" w:rsidRDefault="001208BE" w:rsidP="005B2359">
            <w:pPr>
              <w:pStyle w:val="ListParagraph"/>
              <w:numPr>
                <w:ilvl w:val="0"/>
                <w:numId w:val="8"/>
              </w:numPr>
              <w:spacing w:after="0" w:line="20" w:lineRule="atLeast"/>
              <w:ind w:left="742"/>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recapitulation of pain pathways – flipchart exercise -  </w:t>
            </w:r>
          </w:p>
          <w:p w14:paraId="47B42A07" w14:textId="77777777" w:rsidR="001208BE" w:rsidRPr="00676303" w:rsidRDefault="001208BE" w:rsidP="005B2359">
            <w:pPr>
              <w:pStyle w:val="ListParagraph"/>
              <w:numPr>
                <w:ilvl w:val="0"/>
                <w:numId w:val="8"/>
              </w:numPr>
              <w:spacing w:after="0" w:line="20" w:lineRule="atLeast"/>
              <w:ind w:left="742"/>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Conclusions, discussion - </w:t>
            </w:r>
          </w:p>
          <w:p w14:paraId="65BD2E13" w14:textId="77777777" w:rsidR="001208BE" w:rsidRPr="00676303" w:rsidRDefault="001208BE" w:rsidP="005B2359">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Bed side training/ seminar  2 h </w:t>
            </w:r>
          </w:p>
          <w:p w14:paraId="259D7F72" w14:textId="77777777" w:rsidR="001208BE" w:rsidRPr="00676303" w:rsidRDefault="001208BE" w:rsidP="005B2359">
            <w:pPr>
              <w:pStyle w:val="ListParagraph"/>
              <w:numPr>
                <w:ilvl w:val="0"/>
                <w:numId w:val="7"/>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Pain measurement scales –tutor present to students ; </w:t>
            </w:r>
          </w:p>
          <w:p w14:paraId="262F0B83" w14:textId="77777777" w:rsidR="001208BE" w:rsidRPr="00676303" w:rsidRDefault="001208BE" w:rsidP="005B2359">
            <w:pPr>
              <w:pStyle w:val="ListParagraph"/>
              <w:numPr>
                <w:ilvl w:val="0"/>
                <w:numId w:val="7"/>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Demonstration of multidimensional pain assessment and formulation of pain diagnosis</w:t>
            </w:r>
          </w:p>
          <w:p w14:paraId="75D964EC" w14:textId="77777777" w:rsidR="001208BE" w:rsidRPr="00676303" w:rsidRDefault="001208BE" w:rsidP="005B2359">
            <w:pPr>
              <w:pStyle w:val="ListParagraph"/>
              <w:numPr>
                <w:ilvl w:val="0"/>
                <w:numId w:val="7"/>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Role play in pairs on given cases to do pain assessment  following a given checklist and formulation of pain diagnosis or alternatively  assessment of pain in real patients and formulation of pain diagnosis</w:t>
            </w:r>
          </w:p>
          <w:p w14:paraId="3001A4C0" w14:textId="77777777" w:rsidR="001208BE" w:rsidRPr="00676303" w:rsidRDefault="001208BE" w:rsidP="005B2359">
            <w:pPr>
              <w:pStyle w:val="ListParagraph"/>
              <w:numPr>
                <w:ilvl w:val="0"/>
                <w:numId w:val="7"/>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Whole group debriefing  </w:t>
            </w:r>
          </w:p>
          <w:p w14:paraId="4A1A2CB2" w14:textId="77777777" w:rsidR="001208BE" w:rsidRPr="00676303" w:rsidRDefault="001208BE" w:rsidP="005B2359">
            <w:pPr>
              <w:pStyle w:val="ListParagraph"/>
              <w:numPr>
                <w:ilvl w:val="0"/>
                <w:numId w:val="7"/>
              </w:numPr>
              <w:spacing w:after="0" w:line="20" w:lineRule="atLeast"/>
              <w:rPr>
                <w:rFonts w:asciiTheme="minorHAnsi" w:hAnsiTheme="minorHAnsi" w:cs="Calibri"/>
                <w:sz w:val="20"/>
                <w:szCs w:val="20"/>
                <w:lang w:val="en-US"/>
              </w:rPr>
            </w:pPr>
            <w:r w:rsidRPr="00676303">
              <w:rPr>
                <w:rFonts w:asciiTheme="minorHAnsi" w:hAnsiTheme="minorHAnsi" w:cstheme="minorHAnsi"/>
                <w:sz w:val="20"/>
                <w:szCs w:val="20"/>
                <w:lang w:val="en-US"/>
              </w:rPr>
              <w:t xml:space="preserve">each pair will present feedback on the process and the pain  diagnosis  - group and tutor to give feedback  </w:t>
            </w:r>
          </w:p>
        </w:tc>
      </w:tr>
      <w:tr w:rsidR="001208BE" w:rsidRPr="00676303" w14:paraId="104AB1AC" w14:textId="77777777" w:rsidTr="005B2359">
        <w:tc>
          <w:tcPr>
            <w:tcW w:w="1413" w:type="dxa"/>
            <w:shd w:val="clear" w:color="auto" w:fill="DBE5F1"/>
          </w:tcPr>
          <w:p w14:paraId="2BD87B7E" w14:textId="77777777" w:rsidR="001208BE" w:rsidRPr="00676303" w:rsidRDefault="001208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Bibliography/Resources</w:t>
            </w:r>
          </w:p>
        </w:tc>
        <w:tc>
          <w:tcPr>
            <w:tcW w:w="7938" w:type="dxa"/>
            <w:shd w:val="clear" w:color="auto" w:fill="auto"/>
          </w:tcPr>
          <w:p w14:paraId="2B0662E5" w14:textId="77777777" w:rsidR="001208BE" w:rsidRPr="00676303" w:rsidRDefault="001208BE"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IASP or other internet resources</w:t>
            </w:r>
          </w:p>
          <w:p w14:paraId="2F0CC807" w14:textId="77777777" w:rsidR="001208BE" w:rsidRPr="00676303" w:rsidRDefault="001208BE" w:rsidP="005B2359">
            <w:pPr>
              <w:pStyle w:val="ListParagraph"/>
              <w:numPr>
                <w:ilvl w:val="0"/>
                <w:numId w:val="3"/>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Oxford Textbook of Palliative Medicine</w:t>
            </w:r>
          </w:p>
          <w:p w14:paraId="18629068" w14:textId="77777777" w:rsidR="001208BE" w:rsidRPr="00676303" w:rsidRDefault="001208BE" w:rsidP="005B2359">
            <w:pPr>
              <w:pStyle w:val="ListParagraph"/>
              <w:numPr>
                <w:ilvl w:val="0"/>
                <w:numId w:val="3"/>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IASP- Guide to Pain Management in Low-Resource Settings</w:t>
            </w:r>
          </w:p>
          <w:p w14:paraId="184AB3C9" w14:textId="77777777" w:rsidR="001208BE" w:rsidRPr="00676303" w:rsidRDefault="00553784" w:rsidP="005B2359">
            <w:pPr>
              <w:numPr>
                <w:ilvl w:val="0"/>
                <w:numId w:val="2"/>
              </w:numPr>
              <w:spacing w:after="0" w:line="20" w:lineRule="atLeast"/>
              <w:rPr>
                <w:rFonts w:asciiTheme="minorHAnsi" w:hAnsiTheme="minorHAnsi" w:cstheme="minorHAnsi"/>
                <w:sz w:val="20"/>
                <w:szCs w:val="20"/>
                <w:lang w:val="en-US"/>
              </w:rPr>
            </w:pPr>
            <w:hyperlink r:id="rId6" w:history="1">
              <w:r w:rsidR="001208BE" w:rsidRPr="00676303">
                <w:rPr>
                  <w:rStyle w:val="Hyperlink"/>
                  <w:rFonts w:asciiTheme="minorHAnsi" w:hAnsiTheme="minorHAnsi" w:cstheme="minorHAnsi"/>
                  <w:sz w:val="20"/>
                  <w:szCs w:val="20"/>
                  <w:lang w:val="en-US"/>
                </w:rPr>
                <w:t>http://www.who.int/cancer/palliative/definition/en/</w:t>
              </w:r>
            </w:hyperlink>
            <w:r w:rsidR="001208BE" w:rsidRPr="00676303">
              <w:rPr>
                <w:rFonts w:asciiTheme="minorHAnsi" w:hAnsiTheme="minorHAnsi" w:cstheme="minorHAnsi"/>
                <w:sz w:val="20"/>
                <w:szCs w:val="20"/>
                <w:lang w:val="en-US"/>
              </w:rPr>
              <w:t xml:space="preserve"> </w:t>
            </w:r>
          </w:p>
          <w:p w14:paraId="04DFDCDF" w14:textId="77777777" w:rsidR="001208BE" w:rsidRPr="00676303" w:rsidRDefault="001208BE" w:rsidP="00553784">
            <w:pPr>
              <w:numPr>
                <w:ilvl w:val="0"/>
                <w:numId w:val="2"/>
              </w:numPr>
              <w:spacing w:after="12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lastRenderedPageBreak/>
              <w:t xml:space="preserve">IAHPC – Manual of palliative care, </w:t>
            </w:r>
            <w:hyperlink r:id="rId7" w:history="1">
              <w:r w:rsidRPr="00676303">
                <w:rPr>
                  <w:rStyle w:val="Hyperlink"/>
                  <w:rFonts w:asciiTheme="minorHAnsi" w:hAnsiTheme="minorHAnsi" w:cstheme="minorHAnsi"/>
                  <w:sz w:val="20"/>
                  <w:szCs w:val="20"/>
                  <w:lang w:val="en-US"/>
                </w:rPr>
                <w:t>http://www.pacificcancer.org/pacp-resources/palliative-care-cancer-survivorship/iahpc-manual-palliative-care.pdf</w:t>
              </w:r>
            </w:hyperlink>
            <w:r w:rsidRPr="00676303">
              <w:rPr>
                <w:rFonts w:asciiTheme="minorHAnsi" w:hAnsiTheme="minorHAnsi" w:cstheme="minorHAnsi"/>
                <w:sz w:val="20"/>
                <w:szCs w:val="20"/>
                <w:lang w:val="en-US"/>
              </w:rPr>
              <w:t xml:space="preserve"> </w:t>
            </w:r>
          </w:p>
          <w:p w14:paraId="1B2908FE" w14:textId="77777777" w:rsidR="001208BE" w:rsidRPr="00676303" w:rsidRDefault="001208BE" w:rsidP="00553784">
            <w:pPr>
              <w:spacing w:after="120" w:line="20" w:lineRule="atLeast"/>
              <w:rPr>
                <w:rFonts w:asciiTheme="minorHAnsi" w:hAnsiTheme="minorHAnsi" w:cs="Calibri"/>
                <w:sz w:val="20"/>
                <w:szCs w:val="20"/>
                <w:lang w:val="en-US"/>
              </w:rPr>
            </w:pPr>
            <w:r w:rsidRPr="00676303">
              <w:rPr>
                <w:rFonts w:asciiTheme="minorHAnsi" w:hAnsiTheme="minorHAnsi" w:cstheme="minorHAnsi"/>
                <w:sz w:val="20"/>
                <w:szCs w:val="20"/>
                <w:lang w:val="en-US"/>
              </w:rPr>
              <w:t xml:space="preserve">Robert Twycross, Introducing Palliative Care, </w:t>
            </w:r>
            <w:hyperlink r:id="rId8" w:history="1">
              <w:r w:rsidRPr="00676303">
                <w:rPr>
                  <w:rStyle w:val="Hyperlink"/>
                  <w:rFonts w:asciiTheme="minorHAnsi" w:hAnsiTheme="minorHAnsi" w:cstheme="minorHAnsi"/>
                  <w:sz w:val="20"/>
                  <w:szCs w:val="20"/>
                  <w:lang w:val="en-US"/>
                </w:rPr>
                <w:t>http://books.google.ro/books?id=YmMwVnGTNiYC&amp;pg=PA5&amp;lpg=PA5&amp;dq=quality+of+life+twycross&amp;source=bl&amp;ots=vQry1XX5Lf&amp;sig=9vHiIfz0CoWe1Rc-</w:t>
              </w:r>
            </w:hyperlink>
            <w:r w:rsidRPr="00676303">
              <w:rPr>
                <w:rFonts w:asciiTheme="minorHAnsi" w:hAnsiTheme="minorHAnsi" w:cstheme="minorHAnsi"/>
                <w:sz w:val="20"/>
                <w:szCs w:val="20"/>
                <w:lang w:val="en-US"/>
              </w:rPr>
              <w:t xml:space="preserve"> </w:t>
            </w:r>
          </w:p>
        </w:tc>
      </w:tr>
    </w:tbl>
    <w:p w14:paraId="7AFE7FEA" w14:textId="77777777" w:rsidR="006F184C" w:rsidRDefault="006F184C">
      <w:bookmarkStart w:id="0" w:name="_GoBack"/>
      <w:bookmarkEnd w:id="0"/>
    </w:p>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45D2F"/>
    <w:multiLevelType w:val="hybridMultilevel"/>
    <w:tmpl w:val="28DCF44C"/>
    <w:lvl w:ilvl="0" w:tplc="FA36967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61B0821"/>
    <w:multiLevelType w:val="hybridMultilevel"/>
    <w:tmpl w:val="F5ECF9E8"/>
    <w:lvl w:ilvl="0" w:tplc="2A42961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81F56E5"/>
    <w:multiLevelType w:val="hybridMultilevel"/>
    <w:tmpl w:val="B9AEE4C2"/>
    <w:lvl w:ilvl="0" w:tplc="A030EAFC">
      <w:start w:val="1"/>
      <w:numFmt w:val="bullet"/>
      <w:lvlText w:val="•"/>
      <w:lvlJc w:val="left"/>
      <w:pPr>
        <w:tabs>
          <w:tab w:val="num" w:pos="720"/>
        </w:tabs>
        <w:ind w:left="720" w:hanging="360"/>
      </w:pPr>
      <w:rPr>
        <w:rFonts w:ascii="Times New Roman" w:hAnsi="Times New Roman" w:hint="default"/>
      </w:rPr>
    </w:lvl>
    <w:lvl w:ilvl="1" w:tplc="55ACFBC0">
      <w:start w:val="1"/>
      <w:numFmt w:val="bullet"/>
      <w:lvlText w:val="•"/>
      <w:lvlJc w:val="left"/>
      <w:pPr>
        <w:tabs>
          <w:tab w:val="num" w:pos="1440"/>
        </w:tabs>
        <w:ind w:left="1440" w:hanging="360"/>
      </w:pPr>
      <w:rPr>
        <w:rFonts w:ascii="Times New Roman" w:hAnsi="Times New Roman" w:hint="default"/>
      </w:rPr>
    </w:lvl>
    <w:lvl w:ilvl="2" w:tplc="BDD09010" w:tentative="1">
      <w:start w:val="1"/>
      <w:numFmt w:val="bullet"/>
      <w:lvlText w:val="•"/>
      <w:lvlJc w:val="left"/>
      <w:pPr>
        <w:tabs>
          <w:tab w:val="num" w:pos="2160"/>
        </w:tabs>
        <w:ind w:left="2160" w:hanging="360"/>
      </w:pPr>
      <w:rPr>
        <w:rFonts w:ascii="Times New Roman" w:hAnsi="Times New Roman" w:hint="default"/>
      </w:rPr>
    </w:lvl>
    <w:lvl w:ilvl="3" w:tplc="3BAC8E00" w:tentative="1">
      <w:start w:val="1"/>
      <w:numFmt w:val="bullet"/>
      <w:lvlText w:val="•"/>
      <w:lvlJc w:val="left"/>
      <w:pPr>
        <w:tabs>
          <w:tab w:val="num" w:pos="2880"/>
        </w:tabs>
        <w:ind w:left="2880" w:hanging="360"/>
      </w:pPr>
      <w:rPr>
        <w:rFonts w:ascii="Times New Roman" w:hAnsi="Times New Roman" w:hint="default"/>
      </w:rPr>
    </w:lvl>
    <w:lvl w:ilvl="4" w:tplc="07BE87BE" w:tentative="1">
      <w:start w:val="1"/>
      <w:numFmt w:val="bullet"/>
      <w:lvlText w:val="•"/>
      <w:lvlJc w:val="left"/>
      <w:pPr>
        <w:tabs>
          <w:tab w:val="num" w:pos="3600"/>
        </w:tabs>
        <w:ind w:left="3600" w:hanging="360"/>
      </w:pPr>
      <w:rPr>
        <w:rFonts w:ascii="Times New Roman" w:hAnsi="Times New Roman" w:hint="default"/>
      </w:rPr>
    </w:lvl>
    <w:lvl w:ilvl="5" w:tplc="0658C4C4" w:tentative="1">
      <w:start w:val="1"/>
      <w:numFmt w:val="bullet"/>
      <w:lvlText w:val="•"/>
      <w:lvlJc w:val="left"/>
      <w:pPr>
        <w:tabs>
          <w:tab w:val="num" w:pos="4320"/>
        </w:tabs>
        <w:ind w:left="4320" w:hanging="360"/>
      </w:pPr>
      <w:rPr>
        <w:rFonts w:ascii="Times New Roman" w:hAnsi="Times New Roman" w:hint="default"/>
      </w:rPr>
    </w:lvl>
    <w:lvl w:ilvl="6" w:tplc="0924F708" w:tentative="1">
      <w:start w:val="1"/>
      <w:numFmt w:val="bullet"/>
      <w:lvlText w:val="•"/>
      <w:lvlJc w:val="left"/>
      <w:pPr>
        <w:tabs>
          <w:tab w:val="num" w:pos="5040"/>
        </w:tabs>
        <w:ind w:left="5040" w:hanging="360"/>
      </w:pPr>
      <w:rPr>
        <w:rFonts w:ascii="Times New Roman" w:hAnsi="Times New Roman" w:hint="default"/>
      </w:rPr>
    </w:lvl>
    <w:lvl w:ilvl="7" w:tplc="BA0CFA34" w:tentative="1">
      <w:start w:val="1"/>
      <w:numFmt w:val="bullet"/>
      <w:lvlText w:val="•"/>
      <w:lvlJc w:val="left"/>
      <w:pPr>
        <w:tabs>
          <w:tab w:val="num" w:pos="5760"/>
        </w:tabs>
        <w:ind w:left="5760" w:hanging="360"/>
      </w:pPr>
      <w:rPr>
        <w:rFonts w:ascii="Times New Roman" w:hAnsi="Times New Roman" w:hint="default"/>
      </w:rPr>
    </w:lvl>
    <w:lvl w:ilvl="8" w:tplc="395AAE9E" w:tentative="1">
      <w:start w:val="1"/>
      <w:numFmt w:val="bullet"/>
      <w:lvlText w:val="•"/>
      <w:lvlJc w:val="left"/>
      <w:pPr>
        <w:tabs>
          <w:tab w:val="num" w:pos="6480"/>
        </w:tabs>
        <w:ind w:left="6480" w:hanging="360"/>
      </w:pPr>
      <w:rPr>
        <w:rFonts w:ascii="Times New Roman" w:hAnsi="Times New Roman" w:hint="default"/>
      </w:rPr>
    </w:lvl>
  </w:abstractNum>
  <w:abstractNum w:abstractNumId="3">
    <w:nsid w:val="45906E7E"/>
    <w:multiLevelType w:val="hybridMultilevel"/>
    <w:tmpl w:val="7EB43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EF453E"/>
    <w:multiLevelType w:val="hybridMultilevel"/>
    <w:tmpl w:val="DD6E746C"/>
    <w:lvl w:ilvl="0" w:tplc="52AC14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49480811"/>
    <w:multiLevelType w:val="hybridMultilevel"/>
    <w:tmpl w:val="5E2C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C33274"/>
    <w:multiLevelType w:val="hybridMultilevel"/>
    <w:tmpl w:val="932221C0"/>
    <w:lvl w:ilvl="0" w:tplc="A030EAFC">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135E33"/>
    <w:multiLevelType w:val="hybridMultilevel"/>
    <w:tmpl w:val="3A3ECFD6"/>
    <w:lvl w:ilvl="0" w:tplc="FA369676">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6"/>
  </w:num>
  <w:num w:numId="4">
    <w:abstractNumId w:val="4"/>
  </w:num>
  <w:num w:numId="5">
    <w:abstractNumId w:val="1"/>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8BE"/>
    <w:rsid w:val="001208BE"/>
    <w:rsid w:val="00553784"/>
    <w:rsid w:val="006F1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F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BE"/>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8BE"/>
    <w:pPr>
      <w:spacing w:after="200" w:line="276" w:lineRule="auto"/>
      <w:ind w:left="720"/>
      <w:contextualSpacing/>
    </w:pPr>
    <w:rPr>
      <w:lang w:val="ro-RO"/>
    </w:rPr>
  </w:style>
  <w:style w:type="character" w:styleId="Hyperlink">
    <w:name w:val="Hyperlink"/>
    <w:basedOn w:val="DefaultParagraphFont"/>
    <w:uiPriority w:val="99"/>
    <w:unhideWhenUsed/>
    <w:rsid w:val="001208BE"/>
    <w:rPr>
      <w:color w:val="0563C1" w:themeColor="hyperlink"/>
      <w:u w:val="single"/>
    </w:rPr>
  </w:style>
  <w:style w:type="character" w:customStyle="1" w:styleId="shorttext">
    <w:name w:val="short_text"/>
    <w:basedOn w:val="DefaultParagraphFont"/>
    <w:rsid w:val="001208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BE"/>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8BE"/>
    <w:pPr>
      <w:spacing w:after="200" w:line="276" w:lineRule="auto"/>
      <w:ind w:left="720"/>
      <w:contextualSpacing/>
    </w:pPr>
    <w:rPr>
      <w:lang w:val="ro-RO"/>
    </w:rPr>
  </w:style>
  <w:style w:type="character" w:styleId="Hyperlink">
    <w:name w:val="Hyperlink"/>
    <w:basedOn w:val="DefaultParagraphFont"/>
    <w:uiPriority w:val="99"/>
    <w:unhideWhenUsed/>
    <w:rsid w:val="001208BE"/>
    <w:rPr>
      <w:color w:val="0563C1" w:themeColor="hyperlink"/>
      <w:u w:val="single"/>
    </w:rPr>
  </w:style>
  <w:style w:type="character" w:customStyle="1" w:styleId="shorttext">
    <w:name w:val="short_text"/>
    <w:basedOn w:val="DefaultParagraphFont"/>
    <w:rsid w:val="00120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oks.google.ro/books?id=YmMwVnGTNiYC&amp;pg=PA5&amp;lpg=PA5&amp;dq=quality+of+life+twycross&amp;source=bl&amp;ots=vQry1XX5Lf&amp;sig=9vHiIfz0CoWe1Rc-TbS1b6e89bo&amp;hl=ro&amp;sa=X&amp;ei=h8kzVOfQLc7JPd75gdAO&amp;ved=0CCwQ6AEwAQ" TargetMode="External"/><Relationship Id="rId3" Type="http://schemas.microsoft.com/office/2007/relationships/stylesWithEffects" Target="stylesWithEffects.xml"/><Relationship Id="rId7" Type="http://schemas.openxmlformats.org/officeDocument/2006/relationships/hyperlink" Target="http://www.pacificcancer.org/pacp-resources/palliative-care-cancer-survivorship/iahpc-manual-palliative-car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ho.int/cancer/palliative/definition/e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491</Words>
  <Characters>2799</Characters>
  <Application>Microsoft Office Word</Application>
  <DocSecurity>0</DocSecurity>
  <Lines>23</Lines>
  <Paragraphs>6</Paragraphs>
  <ScaleCrop>false</ScaleCrop>
  <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2</cp:revision>
  <dcterms:created xsi:type="dcterms:W3CDTF">2020-02-17T10:15:00Z</dcterms:created>
  <dcterms:modified xsi:type="dcterms:W3CDTF">2020-02-19T14:13:00Z</dcterms:modified>
</cp:coreProperties>
</file>