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654"/>
      </w:tblGrid>
      <w:tr w:rsidR="00D17C6B" w:rsidRPr="00676303" w14:paraId="3BDDBA3F" w14:textId="77777777" w:rsidTr="005B2359">
        <w:tc>
          <w:tcPr>
            <w:tcW w:w="9209" w:type="dxa"/>
            <w:gridSpan w:val="2"/>
            <w:shd w:val="clear" w:color="auto" w:fill="D9E2F3" w:themeFill="accent1" w:themeFillTint="33"/>
          </w:tcPr>
          <w:p w14:paraId="7784C746" w14:textId="77777777" w:rsidR="00D17C6B" w:rsidRPr="00676303" w:rsidRDefault="00D17C6B" w:rsidP="005B2359">
            <w:pPr>
              <w:spacing w:after="0" w:line="20" w:lineRule="atLeast"/>
              <w:jc w:val="center"/>
              <w:rPr>
                <w:rFonts w:asciiTheme="minorHAnsi" w:hAnsiTheme="minorHAnsi" w:cstheme="minorHAnsi"/>
                <w:b/>
                <w:i/>
                <w:sz w:val="20"/>
                <w:szCs w:val="20"/>
                <w:highlight w:val="yellow"/>
                <w:lang w:val="en-US"/>
              </w:rPr>
            </w:pPr>
            <w:r w:rsidRPr="00676303">
              <w:rPr>
                <w:rFonts w:asciiTheme="minorHAnsi" w:hAnsiTheme="minorHAnsi" w:cstheme="minorHAnsi"/>
                <w:b/>
                <w:i/>
                <w:sz w:val="20"/>
                <w:szCs w:val="20"/>
                <w:lang w:val="en-US"/>
              </w:rPr>
              <w:t xml:space="preserve">Lesson Plan </w:t>
            </w:r>
          </w:p>
        </w:tc>
      </w:tr>
      <w:tr w:rsidR="00D17C6B" w:rsidRPr="00676303" w14:paraId="30D0F9BA" w14:textId="77777777" w:rsidTr="005B2359">
        <w:tc>
          <w:tcPr>
            <w:tcW w:w="1555" w:type="dxa"/>
            <w:shd w:val="clear" w:color="auto" w:fill="D9E2F3" w:themeFill="accent1" w:themeFillTint="33"/>
          </w:tcPr>
          <w:p w14:paraId="443ED96E"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Teaching Unit</w:t>
            </w:r>
          </w:p>
        </w:tc>
        <w:tc>
          <w:tcPr>
            <w:tcW w:w="7654" w:type="dxa"/>
            <w:shd w:val="clear" w:color="auto" w:fill="auto"/>
          </w:tcPr>
          <w:p w14:paraId="3A2822EF" w14:textId="77777777" w:rsidR="00D17C6B" w:rsidRPr="00676303" w:rsidRDefault="00D17C6B" w:rsidP="005B2359">
            <w:pPr>
              <w:spacing w:after="0" w:line="20" w:lineRule="atLeast"/>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Ethical &amp;Legal Issues </w:t>
            </w:r>
          </w:p>
        </w:tc>
      </w:tr>
      <w:tr w:rsidR="00D17C6B" w:rsidRPr="00676303" w14:paraId="047F6552" w14:textId="77777777" w:rsidTr="005B2359">
        <w:tc>
          <w:tcPr>
            <w:tcW w:w="1555" w:type="dxa"/>
            <w:shd w:val="clear" w:color="auto" w:fill="D9E2F3" w:themeFill="accent1" w:themeFillTint="33"/>
          </w:tcPr>
          <w:p w14:paraId="5C09124F" w14:textId="77777777" w:rsidR="00D17C6B" w:rsidRPr="00676303" w:rsidRDefault="00D17C6B"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Title</w:t>
            </w:r>
          </w:p>
        </w:tc>
        <w:tc>
          <w:tcPr>
            <w:tcW w:w="7654" w:type="dxa"/>
            <w:shd w:val="clear" w:color="auto" w:fill="auto"/>
          </w:tcPr>
          <w:p w14:paraId="63105450" w14:textId="77777777" w:rsidR="00D17C6B" w:rsidRPr="00676303" w:rsidRDefault="00D17C6B"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Decision making process and models of care</w:t>
            </w:r>
          </w:p>
        </w:tc>
      </w:tr>
      <w:tr w:rsidR="00D17C6B" w:rsidRPr="00676303" w14:paraId="7683064B" w14:textId="77777777" w:rsidTr="005B2359">
        <w:tc>
          <w:tcPr>
            <w:tcW w:w="1555" w:type="dxa"/>
            <w:shd w:val="clear" w:color="auto" w:fill="D9E2F3" w:themeFill="accent1" w:themeFillTint="33"/>
          </w:tcPr>
          <w:p w14:paraId="265EAF9E"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Learning Outcome)</w:t>
            </w:r>
          </w:p>
        </w:tc>
        <w:tc>
          <w:tcPr>
            <w:tcW w:w="7654" w:type="dxa"/>
            <w:shd w:val="clear" w:color="auto" w:fill="auto"/>
          </w:tcPr>
          <w:p w14:paraId="1983F60D" w14:textId="77777777" w:rsidR="00D17C6B" w:rsidRPr="00676303" w:rsidRDefault="00D17C6B" w:rsidP="005B2359">
            <w:p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Understand the ethical principles </w:t>
            </w:r>
            <w:r w:rsidRPr="00676303">
              <w:rPr>
                <w:rFonts w:asciiTheme="minorHAnsi" w:eastAsia="Times New Roman" w:hAnsiTheme="minorHAnsi" w:cstheme="minorHAnsi"/>
                <w:bCs/>
                <w:color w:val="000000" w:themeColor="text1"/>
                <w:sz w:val="20"/>
                <w:szCs w:val="20"/>
                <w:lang w:val="en-US" w:eastAsia="en-GB"/>
              </w:rPr>
              <w:t>that underpin care models and the associated decision-making process</w:t>
            </w:r>
            <w:r w:rsidRPr="00676303">
              <w:rPr>
                <w:rFonts w:asciiTheme="minorHAnsi" w:hAnsiTheme="minorHAnsi" w:cstheme="minorHAnsi"/>
                <w:color w:val="000000" w:themeColor="text1"/>
                <w:sz w:val="20"/>
                <w:szCs w:val="20"/>
                <w:lang w:val="en-US"/>
              </w:rPr>
              <w:t xml:space="preserve"> </w:t>
            </w:r>
          </w:p>
        </w:tc>
      </w:tr>
      <w:tr w:rsidR="00D17C6B" w:rsidRPr="00676303" w14:paraId="15FFA373" w14:textId="77777777" w:rsidTr="005B2359">
        <w:tc>
          <w:tcPr>
            <w:tcW w:w="1555" w:type="dxa"/>
            <w:shd w:val="clear" w:color="auto" w:fill="D9E2F3" w:themeFill="accent1" w:themeFillTint="33"/>
          </w:tcPr>
          <w:p w14:paraId="1B956695"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 xml:space="preserve">Summary </w:t>
            </w:r>
          </w:p>
        </w:tc>
        <w:tc>
          <w:tcPr>
            <w:tcW w:w="7654" w:type="dxa"/>
            <w:shd w:val="clear" w:color="auto" w:fill="auto"/>
          </w:tcPr>
          <w:p w14:paraId="4D8D1501" w14:textId="2CF19F62" w:rsidR="00D17C6B" w:rsidRPr="00676303" w:rsidRDefault="00D17C6B" w:rsidP="005B2359">
            <w:p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A good decision</w:t>
            </w:r>
            <w:r>
              <w:rPr>
                <w:rFonts w:asciiTheme="minorHAnsi" w:hAnsiTheme="minorHAnsi" w:cstheme="minorHAnsi"/>
                <w:color w:val="000000" w:themeColor="text1"/>
                <w:sz w:val="20"/>
                <w:szCs w:val="20"/>
                <w:lang w:val="en-US"/>
              </w:rPr>
              <w:t>-making</w:t>
            </w:r>
            <w:r w:rsidRPr="00676303">
              <w:rPr>
                <w:rFonts w:asciiTheme="minorHAnsi" w:hAnsiTheme="minorHAnsi" w:cstheme="minorHAnsi"/>
                <w:color w:val="000000" w:themeColor="text1"/>
                <w:sz w:val="20"/>
                <w:szCs w:val="20"/>
                <w:lang w:val="en-US"/>
              </w:rPr>
              <w:t xml:space="preserve"> process in a</w:t>
            </w:r>
            <w:r>
              <w:rPr>
                <w:rFonts w:asciiTheme="minorHAnsi" w:hAnsiTheme="minorHAnsi" w:cstheme="minorHAnsi"/>
                <w:color w:val="000000" w:themeColor="text1"/>
                <w:sz w:val="20"/>
                <w:szCs w:val="20"/>
                <w:lang w:val="en-US"/>
              </w:rPr>
              <w:t>n</w:t>
            </w:r>
            <w:r w:rsidRPr="00676303">
              <w:rPr>
                <w:rFonts w:asciiTheme="minorHAnsi" w:hAnsiTheme="minorHAnsi" w:cstheme="minorHAnsi"/>
                <w:color w:val="000000" w:themeColor="text1"/>
                <w:sz w:val="20"/>
                <w:szCs w:val="20"/>
                <w:lang w:val="en-US"/>
              </w:rPr>
              <w:t xml:space="preserve"> ethical challenging situation is an important step in increasing the quality of life for patients and reducing the burnout of the professionals involved in the process of care (medical-doctor, nurse, social care, etc.)</w:t>
            </w:r>
          </w:p>
          <w:p w14:paraId="386BAE04" w14:textId="77777777" w:rsidR="00D17C6B" w:rsidRPr="00676303" w:rsidRDefault="00D17C6B" w:rsidP="005B2359">
            <w:pPr>
              <w:spacing w:after="0" w:line="20" w:lineRule="atLeast"/>
              <w:jc w:val="both"/>
              <w:rPr>
                <w:rFonts w:asciiTheme="minorHAnsi" w:hAnsiTheme="minorHAnsi" w:cstheme="minorHAnsi"/>
                <w:color w:val="000000" w:themeColor="text1"/>
                <w:sz w:val="20"/>
                <w:szCs w:val="20"/>
                <w:highlight w:val="yellow"/>
                <w:lang w:val="en-US"/>
              </w:rPr>
            </w:pPr>
            <w:r w:rsidRPr="00676303">
              <w:rPr>
                <w:rFonts w:asciiTheme="minorHAnsi" w:hAnsiTheme="minorHAnsi" w:cstheme="minorHAnsi"/>
                <w:color w:val="000000" w:themeColor="text1"/>
                <w:sz w:val="20"/>
                <w:szCs w:val="20"/>
                <w:lang w:val="en-US"/>
              </w:rPr>
              <w:t>The main objective of this teaching unit is to enable future doctors to use an algorithm to make a decision in an ethical challenging situation based on the ethical principles and appropriate models of decision making in a particular cultural context. The steps in the algorithm are  to (a) identify the ethical problems, (b) gather and assess the facts relevant for the decision, (c1) identify the persons involved in the decision their knowledge and cultural background, (c2) understand the importance of each ethical principle/ preferred decision making model for that palliative care patient and his/her family, (d) identify the solutions that will allow increased quality of life plus increased survival of patients (if feasible) based on medical knowledge and patients need (e) identify the risk factors of different solutions and choosing the better solution (f) evaluate the solution in the context of beneficial effects and correlate this with individual and family needs versus health system possibilities.</w:t>
            </w:r>
            <w:r w:rsidRPr="00676303">
              <w:rPr>
                <w:rFonts w:asciiTheme="minorHAnsi" w:hAnsiTheme="minorHAnsi" w:cstheme="minorHAnsi"/>
                <w:color w:val="000000" w:themeColor="text1"/>
                <w:sz w:val="20"/>
                <w:szCs w:val="20"/>
                <w:highlight w:val="yellow"/>
                <w:lang w:val="en-US"/>
              </w:rPr>
              <w:t xml:space="preserve"> </w:t>
            </w:r>
          </w:p>
        </w:tc>
      </w:tr>
      <w:tr w:rsidR="00D17C6B" w:rsidRPr="00676303" w14:paraId="14CC9E98" w14:textId="77777777" w:rsidTr="005B2359">
        <w:tc>
          <w:tcPr>
            <w:tcW w:w="1555" w:type="dxa"/>
            <w:shd w:val="clear" w:color="auto" w:fill="D9E2F3" w:themeFill="accent1" w:themeFillTint="33"/>
          </w:tcPr>
          <w:p w14:paraId="0B2E3E02" w14:textId="77777777" w:rsidR="00D17C6B" w:rsidRPr="00676303" w:rsidRDefault="00D17C6B"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Objectives</w:t>
            </w:r>
          </w:p>
          <w:p w14:paraId="080D944B" w14:textId="77777777" w:rsidR="00D17C6B" w:rsidRPr="00676303" w:rsidRDefault="00D17C6B" w:rsidP="005B2359">
            <w:pPr>
              <w:spacing w:after="0" w:line="20" w:lineRule="atLeast"/>
              <w:rPr>
                <w:rFonts w:asciiTheme="minorHAnsi" w:hAnsiTheme="minorHAnsi" w:cstheme="minorHAnsi"/>
                <w:b/>
                <w:sz w:val="20"/>
                <w:szCs w:val="20"/>
                <w:lang w:val="en-US"/>
              </w:rPr>
            </w:pPr>
          </w:p>
          <w:p w14:paraId="0BFEB241" w14:textId="77777777" w:rsidR="00D17C6B" w:rsidRPr="00676303" w:rsidRDefault="00D17C6B"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45091326" w14:textId="77777777" w:rsidR="00D17C6B" w:rsidRPr="00676303" w:rsidRDefault="00D17C6B"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S – Skills</w:t>
            </w:r>
          </w:p>
          <w:p w14:paraId="083060BD" w14:textId="77777777" w:rsidR="00D17C6B" w:rsidRPr="00676303" w:rsidRDefault="00D17C6B"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42FBF486"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p>
        </w:tc>
        <w:tc>
          <w:tcPr>
            <w:tcW w:w="7654" w:type="dxa"/>
            <w:shd w:val="clear" w:color="auto" w:fill="auto"/>
          </w:tcPr>
          <w:p w14:paraId="56E0858E" w14:textId="77777777" w:rsidR="00D17C6B" w:rsidRPr="00676303" w:rsidRDefault="00D17C6B"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C- Cognition</w:t>
            </w:r>
          </w:p>
          <w:p w14:paraId="7E70805C" w14:textId="77777777" w:rsidR="00D17C6B" w:rsidRPr="00676303" w:rsidRDefault="00D17C6B" w:rsidP="005B2359">
            <w:pPr>
              <w:pStyle w:val="ListParagraph"/>
              <w:numPr>
                <w:ilvl w:val="0"/>
                <w:numId w:val="3"/>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describes core ethical principles within healthcare, for palliative care</w:t>
            </w:r>
          </w:p>
          <w:p w14:paraId="3CF93937" w14:textId="77777777" w:rsidR="00D17C6B" w:rsidRPr="00676303" w:rsidRDefault="00D17C6B" w:rsidP="005B2359">
            <w:pPr>
              <w:pStyle w:val="ListParagraph"/>
              <w:numPr>
                <w:ilvl w:val="0"/>
                <w:numId w:val="3"/>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critically compares the models of care (paternalist, partnership, consumerist)</w:t>
            </w:r>
          </w:p>
          <w:p w14:paraId="4014CD1F" w14:textId="0C81024E" w:rsidR="00D17C6B" w:rsidRPr="00676303" w:rsidRDefault="00D17C6B" w:rsidP="005B2359">
            <w:pPr>
              <w:pStyle w:val="ListParagraph"/>
              <w:numPr>
                <w:ilvl w:val="0"/>
                <w:numId w:val="3"/>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explains</w:t>
            </w:r>
            <w:r w:rsidRPr="00676303">
              <w:rPr>
                <w:rFonts w:asciiTheme="minorHAnsi" w:hAnsiTheme="minorHAnsi"/>
                <w:color w:val="000000" w:themeColor="text1"/>
                <w:sz w:val="20"/>
                <w:szCs w:val="20"/>
                <w:lang w:val="en-US"/>
              </w:rPr>
              <w:t xml:space="preserve"> </w:t>
            </w:r>
            <w:r w:rsidRPr="00676303">
              <w:rPr>
                <w:rFonts w:asciiTheme="minorHAnsi" w:hAnsiTheme="minorHAnsi" w:cstheme="minorHAnsi"/>
                <w:color w:val="000000" w:themeColor="text1"/>
                <w:sz w:val="20"/>
                <w:szCs w:val="20"/>
                <w:lang w:val="en-US"/>
              </w:rPr>
              <w:t xml:space="preserve">steps involved in the decision-making process </w:t>
            </w:r>
          </w:p>
          <w:p w14:paraId="790DE571" w14:textId="77777777" w:rsidR="00D17C6B" w:rsidRPr="00676303" w:rsidRDefault="00D17C6B"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b/>
                <w:color w:val="000000" w:themeColor="text1"/>
                <w:sz w:val="20"/>
                <w:szCs w:val="20"/>
                <w:lang w:val="en-US"/>
              </w:rPr>
              <w:t xml:space="preserve">S - Skills </w:t>
            </w:r>
          </w:p>
          <w:p w14:paraId="25280F52" w14:textId="21A94D47" w:rsidR="00D17C6B" w:rsidRPr="00676303" w:rsidRDefault="00D17C6B"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eastAsia="Times New Roman" w:hAnsiTheme="minorHAnsi" w:cstheme="minorHAnsi"/>
                <w:color w:val="000000" w:themeColor="text1"/>
                <w:sz w:val="20"/>
                <w:szCs w:val="20"/>
                <w:lang w:val="en-US" w:eastAsia="en-GB"/>
              </w:rPr>
              <w:t>Applies the steps involved in the decision-making process in a given case</w:t>
            </w:r>
          </w:p>
          <w:p w14:paraId="0CE08C97" w14:textId="77777777" w:rsidR="00D17C6B" w:rsidRPr="00676303" w:rsidRDefault="00D17C6B" w:rsidP="005B2359">
            <w:pPr>
              <w:pStyle w:val="ListParagraph"/>
              <w:numPr>
                <w:ilvl w:val="0"/>
                <w:numId w:val="4"/>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demonstrates ability to uses ethical theory to explain clinical practice</w:t>
            </w:r>
          </w:p>
          <w:p w14:paraId="1D7E417E" w14:textId="77777777" w:rsidR="00D17C6B" w:rsidRPr="00676303" w:rsidRDefault="00D17C6B" w:rsidP="005B2359">
            <w:pPr>
              <w:spacing w:after="0" w:line="20" w:lineRule="atLeast"/>
              <w:rPr>
                <w:rFonts w:asciiTheme="minorHAnsi" w:hAnsiTheme="minorHAnsi" w:cstheme="minorHAnsi"/>
                <w:b/>
                <w:color w:val="000000" w:themeColor="text1"/>
                <w:sz w:val="20"/>
                <w:szCs w:val="20"/>
                <w:lang w:val="en-US"/>
              </w:rPr>
            </w:pPr>
            <w:r w:rsidRPr="00676303">
              <w:rPr>
                <w:rFonts w:asciiTheme="minorHAnsi" w:hAnsiTheme="minorHAnsi" w:cstheme="minorHAnsi"/>
                <w:iCs/>
                <w:color w:val="000000" w:themeColor="text1"/>
                <w:sz w:val="20"/>
                <w:szCs w:val="20"/>
                <w:lang w:val="en-US"/>
              </w:rPr>
              <w:t xml:space="preserve"> </w:t>
            </w:r>
            <w:r w:rsidRPr="00676303">
              <w:rPr>
                <w:rFonts w:asciiTheme="minorHAnsi" w:hAnsiTheme="minorHAnsi" w:cstheme="minorHAnsi"/>
                <w:b/>
                <w:color w:val="000000" w:themeColor="text1"/>
                <w:sz w:val="20"/>
                <w:szCs w:val="20"/>
                <w:lang w:val="en-US"/>
              </w:rPr>
              <w:t>A – Attitudes</w:t>
            </w:r>
          </w:p>
          <w:p w14:paraId="0FA340F0" w14:textId="77777777" w:rsidR="00D17C6B" w:rsidRPr="00676303" w:rsidRDefault="00D17C6B" w:rsidP="005B2359">
            <w:pPr>
              <w:pStyle w:val="ListParagraph"/>
              <w:numPr>
                <w:ilvl w:val="0"/>
                <w:numId w:val="2"/>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clarifies personal and professional values and recognize their impact on decision making and professional behavior</w:t>
            </w:r>
          </w:p>
          <w:p w14:paraId="44B953B2" w14:textId="5E5F4830" w:rsidR="00D17C6B" w:rsidRPr="004F1B09" w:rsidRDefault="00D17C6B" w:rsidP="005B2359">
            <w:pPr>
              <w:pStyle w:val="ListParagraph"/>
              <w:numPr>
                <w:ilvl w:val="0"/>
                <w:numId w:val="2"/>
              </w:numPr>
              <w:spacing w:after="0" w:line="20" w:lineRule="atLeast"/>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reflects the importance of ethical principles and rules in decision making in palliative care;</w:t>
            </w:r>
            <w:bookmarkStart w:id="0" w:name="_GoBack"/>
            <w:bookmarkEnd w:id="0"/>
          </w:p>
        </w:tc>
      </w:tr>
      <w:tr w:rsidR="00D17C6B" w:rsidRPr="00676303" w14:paraId="4895CC4A" w14:textId="77777777" w:rsidTr="005B2359">
        <w:tc>
          <w:tcPr>
            <w:tcW w:w="1555" w:type="dxa"/>
            <w:shd w:val="clear" w:color="auto" w:fill="D9E2F3" w:themeFill="accent1" w:themeFillTint="33"/>
          </w:tcPr>
          <w:p w14:paraId="08ECF946"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Learning Methods</w:t>
            </w:r>
          </w:p>
        </w:tc>
        <w:tc>
          <w:tcPr>
            <w:tcW w:w="7654" w:type="dxa"/>
            <w:shd w:val="clear" w:color="auto" w:fill="auto"/>
          </w:tcPr>
          <w:p w14:paraId="0623B3EC" w14:textId="77777777" w:rsidR="00D17C6B" w:rsidRPr="00676303" w:rsidRDefault="00D17C6B"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0.5 hours online + 0.5 seminar</w:t>
            </w:r>
          </w:p>
          <w:p w14:paraId="22BA0EC5" w14:textId="77777777" w:rsidR="00D17C6B" w:rsidRPr="00676303" w:rsidRDefault="00D17C6B"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Self-directed reading</w:t>
            </w:r>
          </w:p>
          <w:p w14:paraId="56D57195" w14:textId="77777777" w:rsidR="00D17C6B" w:rsidRPr="00676303" w:rsidRDefault="00D17C6B"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Scenarios/ Case studies</w:t>
            </w:r>
          </w:p>
          <w:p w14:paraId="55734F0C" w14:textId="77777777" w:rsidR="00D17C6B" w:rsidRPr="00676303" w:rsidRDefault="00D17C6B"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Small group work</w:t>
            </w:r>
          </w:p>
          <w:p w14:paraId="43AC6B1B" w14:textId="77777777" w:rsidR="00D17C6B" w:rsidRPr="00676303" w:rsidRDefault="00D17C6B" w:rsidP="005B2359">
            <w:pPr>
              <w:pStyle w:val="ListParagraph"/>
              <w:numPr>
                <w:ilvl w:val="0"/>
                <w:numId w:val="1"/>
              </w:numPr>
              <w:spacing w:after="0" w:line="20" w:lineRule="atLeast"/>
              <w:rPr>
                <w:rFonts w:asciiTheme="minorHAnsi" w:eastAsiaTheme="minorHAnsi" w:hAnsiTheme="minorHAnsi" w:cstheme="minorHAnsi"/>
                <w:color w:val="000000" w:themeColor="text1"/>
                <w:sz w:val="20"/>
                <w:szCs w:val="20"/>
                <w:lang w:val="en-US"/>
              </w:rPr>
            </w:pPr>
            <w:r w:rsidRPr="00676303">
              <w:rPr>
                <w:rFonts w:asciiTheme="minorHAnsi" w:hAnsiTheme="minorHAnsi" w:cs="Calibri"/>
                <w:color w:val="000000" w:themeColor="text1"/>
                <w:sz w:val="20"/>
                <w:szCs w:val="20"/>
                <w:lang w:val="en-US"/>
              </w:rPr>
              <w:t>Reflection on experience</w:t>
            </w:r>
          </w:p>
        </w:tc>
      </w:tr>
      <w:tr w:rsidR="00D17C6B" w:rsidRPr="00676303" w14:paraId="6EBF8C14" w14:textId="77777777" w:rsidTr="005B2359">
        <w:tc>
          <w:tcPr>
            <w:tcW w:w="1555" w:type="dxa"/>
            <w:shd w:val="clear" w:color="auto" w:fill="D9E2F3" w:themeFill="accent1" w:themeFillTint="33"/>
          </w:tcPr>
          <w:p w14:paraId="35CB18C9"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 xml:space="preserve">Timing </w:t>
            </w:r>
          </w:p>
        </w:tc>
        <w:tc>
          <w:tcPr>
            <w:tcW w:w="7654" w:type="dxa"/>
            <w:shd w:val="clear" w:color="auto" w:fill="auto"/>
          </w:tcPr>
          <w:p w14:paraId="4B82B20F" w14:textId="77777777" w:rsidR="00D17C6B" w:rsidRPr="00676303" w:rsidRDefault="00D17C6B"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 xml:space="preserve">On-line 0.5 h </w:t>
            </w:r>
          </w:p>
          <w:p w14:paraId="6FF5B786" w14:textId="77777777" w:rsidR="00D17C6B" w:rsidRPr="00676303" w:rsidRDefault="00D17C6B" w:rsidP="005B2359">
            <w:p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Seminar 0,5 h</w:t>
            </w:r>
          </w:p>
          <w:p w14:paraId="408E73DC" w14:textId="77777777" w:rsidR="00D17C6B" w:rsidRPr="00676303" w:rsidRDefault="00D17C6B"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Small group work based on scenarios and case studies 20 min</w:t>
            </w:r>
          </w:p>
          <w:p w14:paraId="33FF9338" w14:textId="77777777" w:rsidR="00D17C6B" w:rsidRPr="00676303" w:rsidRDefault="00D17C6B" w:rsidP="005B2359">
            <w:pPr>
              <w:pStyle w:val="ListParagraph"/>
              <w:numPr>
                <w:ilvl w:val="0"/>
                <w:numId w:val="1"/>
              </w:numPr>
              <w:spacing w:after="0" w:line="20" w:lineRule="atLeast"/>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Reflection on experience 10 min</w:t>
            </w:r>
          </w:p>
        </w:tc>
      </w:tr>
      <w:tr w:rsidR="00D17C6B" w:rsidRPr="00676303" w14:paraId="30ADA512" w14:textId="77777777" w:rsidTr="005B2359">
        <w:tc>
          <w:tcPr>
            <w:tcW w:w="1555" w:type="dxa"/>
            <w:shd w:val="clear" w:color="auto" w:fill="D9E2F3" w:themeFill="accent1" w:themeFillTint="33"/>
          </w:tcPr>
          <w:p w14:paraId="456DD912" w14:textId="77777777" w:rsidR="00D17C6B" w:rsidRPr="00676303" w:rsidRDefault="00D17C6B" w:rsidP="005B2359">
            <w:pPr>
              <w:spacing w:after="0" w:line="20" w:lineRule="atLeast"/>
              <w:rPr>
                <w:rFonts w:asciiTheme="minorHAnsi" w:hAnsiTheme="minorHAnsi" w:cstheme="minorHAnsi"/>
                <w:b/>
                <w:sz w:val="20"/>
                <w:szCs w:val="20"/>
                <w:highlight w:val="yellow"/>
                <w:lang w:val="en-US"/>
              </w:rPr>
            </w:pPr>
            <w:r w:rsidRPr="00676303">
              <w:rPr>
                <w:rFonts w:asciiTheme="minorHAnsi" w:hAnsiTheme="minorHAnsi" w:cstheme="minorHAnsi"/>
                <w:b/>
                <w:sz w:val="20"/>
                <w:szCs w:val="20"/>
                <w:lang w:val="en-US"/>
              </w:rPr>
              <w:t xml:space="preserve">Bibliography/ Resources </w:t>
            </w:r>
          </w:p>
        </w:tc>
        <w:tc>
          <w:tcPr>
            <w:tcW w:w="7654" w:type="dxa"/>
            <w:shd w:val="clear" w:color="auto" w:fill="auto"/>
          </w:tcPr>
          <w:p w14:paraId="222D607B" w14:textId="77777777" w:rsidR="00D17C6B" w:rsidRPr="00676303" w:rsidRDefault="00D17C6B" w:rsidP="005B2359">
            <w:pPr>
              <w:pStyle w:val="ListParagraph"/>
              <w:numPr>
                <w:ilvl w:val="0"/>
                <w:numId w:val="5"/>
              </w:numPr>
              <w:autoSpaceDE w:val="0"/>
              <w:autoSpaceDN w:val="0"/>
              <w:adjustRightInd w:val="0"/>
              <w:spacing w:after="0" w:line="20" w:lineRule="atLeast"/>
              <w:ind w:left="317"/>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Barry M. J.; </w:t>
            </w:r>
            <w:proofErr w:type="spellStart"/>
            <w:r w:rsidRPr="00676303">
              <w:rPr>
                <w:rFonts w:asciiTheme="minorHAnsi" w:hAnsiTheme="minorHAnsi" w:cstheme="minorHAnsi"/>
                <w:color w:val="000000" w:themeColor="text1"/>
                <w:sz w:val="20"/>
                <w:szCs w:val="20"/>
                <w:lang w:val="en-US"/>
              </w:rPr>
              <w:t>Edgman-Levitan</w:t>
            </w:r>
            <w:proofErr w:type="spellEnd"/>
            <w:r w:rsidRPr="00676303">
              <w:rPr>
                <w:rFonts w:asciiTheme="minorHAnsi" w:hAnsiTheme="minorHAnsi" w:cstheme="minorHAnsi"/>
                <w:color w:val="000000" w:themeColor="text1"/>
                <w:sz w:val="20"/>
                <w:szCs w:val="20"/>
                <w:lang w:val="en-US"/>
              </w:rPr>
              <w:t xml:space="preserve"> S. Shared decision making—the pinnacle of patient-centered care. New England Journal of Medicine, 2012, 366.9: 780-781.</w:t>
            </w:r>
          </w:p>
          <w:p w14:paraId="41DB1976"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Curtis J. R, et al. Missed opportunities during family conferences about end-of-life care in the intensive care unit. American Journal of Respiratory and Critical Care Medicine, 2005, 171.8: 844-849.</w:t>
            </w:r>
          </w:p>
          <w:p w14:paraId="0D6CA859"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Forbes S; Bern‐Klug M; </w:t>
            </w:r>
            <w:proofErr w:type="spellStart"/>
            <w:r w:rsidRPr="00676303">
              <w:rPr>
                <w:rFonts w:asciiTheme="minorHAnsi" w:hAnsiTheme="minorHAnsi" w:cstheme="minorHAnsi"/>
                <w:color w:val="000000" w:themeColor="text1"/>
                <w:sz w:val="20"/>
                <w:szCs w:val="20"/>
                <w:lang w:val="en-US"/>
              </w:rPr>
              <w:t>Gessert</w:t>
            </w:r>
            <w:proofErr w:type="spellEnd"/>
            <w:r w:rsidRPr="00676303">
              <w:rPr>
                <w:rFonts w:asciiTheme="minorHAnsi" w:hAnsiTheme="minorHAnsi" w:cstheme="minorHAnsi"/>
                <w:color w:val="000000" w:themeColor="text1"/>
                <w:sz w:val="20"/>
                <w:szCs w:val="20"/>
                <w:lang w:val="en-US"/>
              </w:rPr>
              <w:t xml:space="preserve"> C. End‐of‐life decision making for nursing home residents with dementia. Journal of Nursing Scholarship, 2000, 32.3: 251-258.</w:t>
            </w:r>
          </w:p>
          <w:p w14:paraId="1C832810"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pacing w:val="-2"/>
                <w:sz w:val="20"/>
                <w:szCs w:val="20"/>
                <w:lang w:val="en-US"/>
              </w:rPr>
            </w:pPr>
            <w:r w:rsidRPr="00676303">
              <w:rPr>
                <w:rFonts w:asciiTheme="minorHAnsi" w:hAnsiTheme="minorHAnsi" w:cstheme="minorHAnsi"/>
                <w:color w:val="000000" w:themeColor="text1"/>
                <w:spacing w:val="-2"/>
                <w:sz w:val="20"/>
                <w:szCs w:val="20"/>
                <w:lang w:val="en-US"/>
              </w:rPr>
              <w:t>Kwak J, Haley W. E. Current research findings on end-of-life decision making among racially or ethnically diverse groups. The Gerontologist, 2005, 45.5: 634-641.</w:t>
            </w:r>
          </w:p>
          <w:p w14:paraId="6EA4BD75"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 xml:space="preserve">Lima M. D. L. F., </w:t>
            </w:r>
            <w:proofErr w:type="spellStart"/>
            <w:r w:rsidRPr="00676303">
              <w:rPr>
                <w:rFonts w:asciiTheme="minorHAnsi" w:hAnsiTheme="minorHAnsi" w:cstheme="minorHAnsi"/>
                <w:color w:val="000000" w:themeColor="text1"/>
                <w:sz w:val="20"/>
                <w:szCs w:val="20"/>
                <w:lang w:val="en-US"/>
              </w:rPr>
              <w:t>Rego</w:t>
            </w:r>
            <w:proofErr w:type="spellEnd"/>
            <w:r w:rsidRPr="00676303">
              <w:rPr>
                <w:rFonts w:asciiTheme="minorHAnsi" w:hAnsiTheme="minorHAnsi" w:cstheme="minorHAnsi"/>
                <w:color w:val="000000" w:themeColor="text1"/>
                <w:sz w:val="20"/>
                <w:szCs w:val="20"/>
                <w:lang w:val="en-US"/>
              </w:rPr>
              <w:t xml:space="preserve">, S. T. D. A. &amp; Siqueira-Batista, R. Decision-making process in end-of-life care. </w:t>
            </w:r>
            <w:proofErr w:type="spellStart"/>
            <w:r w:rsidRPr="00676303">
              <w:rPr>
                <w:rFonts w:asciiTheme="minorHAnsi" w:hAnsiTheme="minorHAnsi" w:cstheme="minorHAnsi"/>
                <w:color w:val="000000" w:themeColor="text1"/>
                <w:sz w:val="20"/>
                <w:szCs w:val="20"/>
                <w:lang w:val="en-US"/>
              </w:rPr>
              <w:t>Revista</w:t>
            </w:r>
            <w:proofErr w:type="spellEnd"/>
            <w:r w:rsidRPr="00676303">
              <w:rPr>
                <w:rFonts w:asciiTheme="minorHAnsi" w:hAnsiTheme="minorHAnsi" w:cstheme="minorHAnsi"/>
                <w:color w:val="000000" w:themeColor="text1"/>
                <w:sz w:val="20"/>
                <w:szCs w:val="20"/>
                <w:lang w:val="en-US"/>
              </w:rPr>
              <w:t xml:space="preserve"> </w:t>
            </w:r>
            <w:proofErr w:type="spellStart"/>
            <w:r w:rsidRPr="00676303">
              <w:rPr>
                <w:rFonts w:asciiTheme="minorHAnsi" w:hAnsiTheme="minorHAnsi" w:cstheme="minorHAnsi"/>
                <w:color w:val="000000" w:themeColor="text1"/>
                <w:sz w:val="20"/>
                <w:szCs w:val="20"/>
                <w:lang w:val="en-US"/>
              </w:rPr>
              <w:t>Bioética</w:t>
            </w:r>
            <w:proofErr w:type="spellEnd"/>
            <w:r w:rsidRPr="00676303">
              <w:rPr>
                <w:rFonts w:asciiTheme="minorHAnsi" w:hAnsiTheme="minorHAnsi" w:cstheme="minorHAnsi"/>
                <w:color w:val="000000" w:themeColor="text1"/>
                <w:sz w:val="20"/>
                <w:szCs w:val="20"/>
                <w:lang w:val="en-US"/>
              </w:rPr>
              <w:t>, 2015, 23(1), 31-39.</w:t>
            </w:r>
          </w:p>
          <w:p w14:paraId="410534EE"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lastRenderedPageBreak/>
              <w:t xml:space="preserve">Singer P. A., Martin D. K., </w:t>
            </w:r>
            <w:proofErr w:type="spellStart"/>
            <w:r w:rsidRPr="00676303">
              <w:rPr>
                <w:rFonts w:asciiTheme="minorHAnsi" w:hAnsiTheme="minorHAnsi" w:cstheme="minorHAnsi"/>
                <w:color w:val="000000" w:themeColor="text1"/>
                <w:sz w:val="20"/>
                <w:szCs w:val="20"/>
                <w:lang w:val="en-US"/>
              </w:rPr>
              <w:t>Kelner</w:t>
            </w:r>
            <w:proofErr w:type="spellEnd"/>
            <w:r w:rsidRPr="00676303">
              <w:rPr>
                <w:rFonts w:asciiTheme="minorHAnsi" w:hAnsiTheme="minorHAnsi" w:cstheme="minorHAnsi"/>
                <w:color w:val="000000" w:themeColor="text1"/>
                <w:sz w:val="20"/>
                <w:szCs w:val="20"/>
                <w:lang w:val="en-US"/>
              </w:rPr>
              <w:t xml:space="preserve"> M. Quality end-of-life care: patients' perspectives. Jama, 1999, 281.2: 163-168.</w:t>
            </w:r>
          </w:p>
          <w:p w14:paraId="7FCC5903"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Truog</w:t>
            </w:r>
            <w:proofErr w:type="spellEnd"/>
            <w:r w:rsidRPr="00676303">
              <w:rPr>
                <w:rFonts w:asciiTheme="minorHAnsi" w:hAnsiTheme="minorHAnsi" w:cstheme="minorHAnsi"/>
                <w:color w:val="000000" w:themeColor="text1"/>
                <w:sz w:val="20"/>
                <w:szCs w:val="20"/>
                <w:lang w:val="en-US"/>
              </w:rPr>
              <w:t xml:space="preserve"> R. D., et al. Recommendations for end-of-life care in the intensive care unit: a consensus statement by the American College of Critical Care Medicine. Critical care medicine, 2008, 36.3: 953-963.</w:t>
            </w:r>
          </w:p>
          <w:p w14:paraId="5D7FBE07"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Van der Heide A., et al. End-of-life decision-making in six European countries: descriptive study. The Lancet, 2003, 362.9381: 345-350.</w:t>
            </w:r>
          </w:p>
          <w:p w14:paraId="08A9E8CA"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r w:rsidRPr="00676303">
              <w:rPr>
                <w:rFonts w:asciiTheme="minorHAnsi" w:hAnsiTheme="minorHAnsi" w:cstheme="minorHAnsi"/>
                <w:color w:val="000000" w:themeColor="text1"/>
                <w:sz w:val="20"/>
                <w:szCs w:val="20"/>
                <w:lang w:val="en-US"/>
              </w:rPr>
              <w:t>White D. B., et al. Toward shared decision making at the end of life in intensive care units: opportunities for improvement. Archives of Internal Medicine, 2007, 167.5: 461-467.</w:t>
            </w:r>
          </w:p>
          <w:p w14:paraId="7954437A" w14:textId="77777777" w:rsidR="00D17C6B" w:rsidRPr="00676303" w:rsidRDefault="00D17C6B" w:rsidP="005B2359">
            <w:pPr>
              <w:pStyle w:val="ListParagraph"/>
              <w:numPr>
                <w:ilvl w:val="0"/>
                <w:numId w:val="5"/>
              </w:numPr>
              <w:autoSpaceDE w:val="0"/>
              <w:autoSpaceDN w:val="0"/>
              <w:adjustRightInd w:val="0"/>
              <w:spacing w:after="0" w:line="20" w:lineRule="atLeast"/>
              <w:ind w:left="360"/>
              <w:jc w:val="both"/>
              <w:rPr>
                <w:rFonts w:asciiTheme="minorHAnsi" w:hAnsiTheme="minorHAnsi" w:cstheme="minorHAnsi"/>
                <w:color w:val="000000" w:themeColor="text1"/>
                <w:sz w:val="20"/>
                <w:szCs w:val="20"/>
                <w:lang w:val="en-US"/>
              </w:rPr>
            </w:pPr>
            <w:proofErr w:type="spellStart"/>
            <w:r w:rsidRPr="00676303">
              <w:rPr>
                <w:rFonts w:asciiTheme="minorHAnsi" w:hAnsiTheme="minorHAnsi" w:cstheme="minorHAnsi"/>
                <w:color w:val="000000" w:themeColor="text1"/>
                <w:sz w:val="20"/>
                <w:szCs w:val="20"/>
                <w:lang w:val="en-US"/>
              </w:rPr>
              <w:t>Winzelberg</w:t>
            </w:r>
            <w:proofErr w:type="spellEnd"/>
            <w:r w:rsidRPr="00676303">
              <w:rPr>
                <w:rFonts w:asciiTheme="minorHAnsi" w:hAnsiTheme="minorHAnsi" w:cstheme="minorHAnsi"/>
                <w:color w:val="000000" w:themeColor="text1"/>
                <w:sz w:val="20"/>
                <w:szCs w:val="20"/>
                <w:lang w:val="en-US"/>
              </w:rPr>
              <w:t xml:space="preserve"> G. S.; Hanson L. C.; </w:t>
            </w:r>
            <w:proofErr w:type="spellStart"/>
            <w:r w:rsidRPr="00676303">
              <w:rPr>
                <w:rFonts w:asciiTheme="minorHAnsi" w:hAnsiTheme="minorHAnsi" w:cstheme="minorHAnsi"/>
                <w:color w:val="000000" w:themeColor="text1"/>
                <w:sz w:val="20"/>
                <w:szCs w:val="20"/>
                <w:lang w:val="en-US"/>
              </w:rPr>
              <w:t>Tulsky</w:t>
            </w:r>
            <w:proofErr w:type="spellEnd"/>
            <w:r w:rsidRPr="00676303">
              <w:rPr>
                <w:rFonts w:asciiTheme="minorHAnsi" w:hAnsiTheme="minorHAnsi" w:cstheme="minorHAnsi"/>
                <w:color w:val="000000" w:themeColor="text1"/>
                <w:sz w:val="20"/>
                <w:szCs w:val="20"/>
                <w:lang w:val="en-US"/>
              </w:rPr>
              <w:t xml:space="preserve"> J. A. Beyond autonomy: diversifying end‐of‐life decision‐making approaches to serve patients and families. Journal of the American Geriatrics Society, 2005, 53.6: 1046-1050.</w:t>
            </w:r>
          </w:p>
        </w:tc>
      </w:tr>
    </w:tbl>
    <w:p w14:paraId="10A25FDC"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A6E9E"/>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C96183"/>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0C1CD6"/>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A2876"/>
    <w:multiLevelType w:val="hybridMultilevel"/>
    <w:tmpl w:val="04A8D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6F4F67"/>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C6B"/>
    <w:rsid w:val="004F1B09"/>
    <w:rsid w:val="006F184C"/>
    <w:rsid w:val="00D17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C6B"/>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C6B"/>
    <w:pPr>
      <w:spacing w:after="200" w:line="276" w:lineRule="auto"/>
      <w:ind w:left="720"/>
      <w:contextualSpacing/>
    </w:pPr>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C6B"/>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C6B"/>
    <w:pPr>
      <w:spacing w:after="200" w:line="27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2</cp:revision>
  <dcterms:created xsi:type="dcterms:W3CDTF">2020-02-17T12:04:00Z</dcterms:created>
  <dcterms:modified xsi:type="dcterms:W3CDTF">2020-02-19T14:17:00Z</dcterms:modified>
</cp:coreProperties>
</file>