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E1A09" w14:textId="77777777" w:rsidR="006F184C" w:rsidRDefault="006F184C"/>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371"/>
      </w:tblGrid>
      <w:tr w:rsidR="00DB6890" w:rsidRPr="00676303" w14:paraId="52EA22F5" w14:textId="77777777" w:rsidTr="005B2359">
        <w:tc>
          <w:tcPr>
            <w:tcW w:w="9209" w:type="dxa"/>
            <w:gridSpan w:val="2"/>
            <w:shd w:val="clear" w:color="auto" w:fill="D9E2F3" w:themeFill="accent1" w:themeFillTint="33"/>
          </w:tcPr>
          <w:p w14:paraId="4803C004" w14:textId="77777777" w:rsidR="00DB6890" w:rsidRPr="00676303" w:rsidRDefault="00DB6890"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w:t>
            </w:r>
          </w:p>
        </w:tc>
      </w:tr>
      <w:tr w:rsidR="00DB6890" w:rsidRPr="00676303" w14:paraId="68A787EF" w14:textId="77777777" w:rsidTr="005B2359">
        <w:tc>
          <w:tcPr>
            <w:tcW w:w="1838" w:type="dxa"/>
            <w:shd w:val="clear" w:color="auto" w:fill="D9E2F3" w:themeFill="accent1" w:themeFillTint="33"/>
          </w:tcPr>
          <w:p w14:paraId="7B4BF21C"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Teaching Unit</w:t>
            </w:r>
          </w:p>
        </w:tc>
        <w:tc>
          <w:tcPr>
            <w:tcW w:w="7371" w:type="dxa"/>
            <w:shd w:val="clear" w:color="auto" w:fill="auto"/>
          </w:tcPr>
          <w:p w14:paraId="2B940599"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Communication </w:t>
            </w:r>
          </w:p>
        </w:tc>
      </w:tr>
      <w:tr w:rsidR="00DB6890" w:rsidRPr="00676303" w14:paraId="30C4FD90" w14:textId="77777777" w:rsidTr="005B2359">
        <w:tc>
          <w:tcPr>
            <w:tcW w:w="1838" w:type="dxa"/>
            <w:shd w:val="clear" w:color="auto" w:fill="D9E2F3" w:themeFill="accent1" w:themeFillTint="33"/>
          </w:tcPr>
          <w:p w14:paraId="7E16D55B"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371" w:type="dxa"/>
            <w:shd w:val="clear" w:color="auto" w:fill="auto"/>
          </w:tcPr>
          <w:p w14:paraId="4D03F5B9" w14:textId="77777777" w:rsidR="00DB6890" w:rsidRPr="00676303" w:rsidRDefault="00DB6890" w:rsidP="005B2359">
            <w:pPr>
              <w:spacing w:after="0" w:line="20" w:lineRule="atLeast"/>
              <w:ind w:right="127"/>
              <w:rPr>
                <w:rFonts w:asciiTheme="minorHAnsi" w:hAnsiTheme="minorHAnsi" w:cs="Calibri"/>
                <w:b/>
                <w:sz w:val="20"/>
                <w:szCs w:val="20"/>
                <w:lang w:val="en-US"/>
              </w:rPr>
            </w:pPr>
            <w:r w:rsidRPr="00676303">
              <w:rPr>
                <w:rFonts w:asciiTheme="minorHAnsi" w:hAnsiTheme="minorHAnsi" w:cs="Calibri"/>
                <w:b/>
                <w:sz w:val="20"/>
                <w:szCs w:val="20"/>
                <w:lang w:val="en-US"/>
              </w:rPr>
              <w:t xml:space="preserve">Communication Challenges in Palliative Care- dealing with collusion </w:t>
            </w:r>
          </w:p>
          <w:p w14:paraId="2BF6A92D" w14:textId="1CD5F0D8"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1.5 h</w:t>
            </w:r>
            <w:r w:rsidR="003007B1">
              <w:rPr>
                <w:rFonts w:asciiTheme="minorHAnsi" w:hAnsiTheme="minorHAnsi" w:cs="Calibri"/>
                <w:b/>
                <w:sz w:val="20"/>
                <w:szCs w:val="20"/>
                <w:lang w:val="en-US"/>
              </w:rPr>
              <w:t xml:space="preserve"> </w:t>
            </w:r>
            <w:r w:rsidRPr="00676303">
              <w:rPr>
                <w:rFonts w:asciiTheme="minorHAnsi" w:hAnsiTheme="minorHAnsi" w:cs="Calibri"/>
                <w:b/>
                <w:sz w:val="20"/>
                <w:szCs w:val="20"/>
                <w:lang w:val="en-US"/>
              </w:rPr>
              <w:t>(30min online, 60 min seminar)</w:t>
            </w:r>
          </w:p>
        </w:tc>
      </w:tr>
      <w:tr w:rsidR="00DB6890" w:rsidRPr="00676303" w14:paraId="122987BC" w14:textId="77777777" w:rsidTr="005B2359">
        <w:tc>
          <w:tcPr>
            <w:tcW w:w="1838" w:type="dxa"/>
            <w:shd w:val="clear" w:color="auto" w:fill="D9E2F3" w:themeFill="accent1" w:themeFillTint="33"/>
          </w:tcPr>
          <w:p w14:paraId="10404B77"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371" w:type="dxa"/>
            <w:shd w:val="clear" w:color="auto" w:fill="auto"/>
          </w:tcPr>
          <w:p w14:paraId="2EE13E8E" w14:textId="5DFA713D"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 Is able to deal with family members request "please do not tell" in such a way as to keep the family member as partner in care while allowing the patient to know the true     </w:t>
            </w:r>
            <w:bookmarkStart w:id="0" w:name="_GoBack"/>
            <w:bookmarkEnd w:id="0"/>
          </w:p>
        </w:tc>
      </w:tr>
      <w:tr w:rsidR="00DB6890" w:rsidRPr="00676303" w14:paraId="1F0EFC9A" w14:textId="77777777" w:rsidTr="005B2359">
        <w:tc>
          <w:tcPr>
            <w:tcW w:w="1838" w:type="dxa"/>
            <w:shd w:val="clear" w:color="auto" w:fill="D9E2F3" w:themeFill="accent1" w:themeFillTint="33"/>
          </w:tcPr>
          <w:p w14:paraId="5E48E8F9"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371" w:type="dxa"/>
            <w:shd w:val="clear" w:color="auto" w:fill="auto"/>
          </w:tcPr>
          <w:p w14:paraId="2E1E82B5" w14:textId="740D99CA"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Collusion is a frequent </w:t>
            </w:r>
            <w:proofErr w:type="spellStart"/>
            <w:r w:rsidR="003007B1" w:rsidRPr="00676303">
              <w:rPr>
                <w:rFonts w:asciiTheme="minorHAnsi" w:hAnsiTheme="minorHAnsi" w:cs="Calibri"/>
                <w:sz w:val="20"/>
                <w:szCs w:val="20"/>
                <w:lang w:val="en-US"/>
              </w:rPr>
              <w:t>phenomena</w:t>
            </w:r>
            <w:proofErr w:type="spellEnd"/>
            <w:r w:rsidRPr="00676303">
              <w:rPr>
                <w:rFonts w:asciiTheme="minorHAnsi" w:hAnsiTheme="minorHAnsi" w:cs="Calibri"/>
                <w:sz w:val="20"/>
                <w:szCs w:val="20"/>
                <w:lang w:val="en-US"/>
              </w:rPr>
              <w:t xml:space="preserve"> encountered in oncology and palliative care especially in non-western cultures. It is defined as a secret understanding between health care professionals and the family of the patient to withhold from the patient information or to selectively present information about his medical condition (diagnosis, prognosis, illness progression).</w:t>
            </w:r>
          </w:p>
          <w:p w14:paraId="638922F5"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The aim of the session is to prepare the future doctor to handle such requests by learning a strategy/algorithm to break collusion; by understanding family members reasons for entering into collusion and the impact of collusion on patient, family members and therapeutic relationship </w:t>
            </w:r>
          </w:p>
        </w:tc>
      </w:tr>
      <w:tr w:rsidR="00DB6890" w:rsidRPr="00676303" w14:paraId="0CC11BAE" w14:textId="77777777" w:rsidTr="005B2359">
        <w:tc>
          <w:tcPr>
            <w:tcW w:w="1838" w:type="dxa"/>
            <w:shd w:val="clear" w:color="auto" w:fill="D9E2F3" w:themeFill="accent1" w:themeFillTint="33"/>
          </w:tcPr>
          <w:p w14:paraId="1CFD737E"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4244708E" w14:textId="77777777" w:rsidR="00DB6890" w:rsidRPr="00676303" w:rsidRDefault="00DB6890"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569ED1E0" w14:textId="77777777" w:rsidR="00DB6890" w:rsidRPr="00676303" w:rsidRDefault="00DB6890"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S – Skills</w:t>
            </w:r>
          </w:p>
          <w:p w14:paraId="25E6537F" w14:textId="77777777" w:rsidR="00DB6890" w:rsidRPr="00676303" w:rsidRDefault="00DB6890"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101DEFCE" w14:textId="77777777" w:rsidR="00DB6890" w:rsidRPr="00676303" w:rsidRDefault="00DB6890" w:rsidP="005B2359">
            <w:pPr>
              <w:spacing w:after="0" w:line="20" w:lineRule="atLeast"/>
              <w:rPr>
                <w:rFonts w:asciiTheme="minorHAnsi" w:hAnsiTheme="minorHAnsi" w:cs="Calibri"/>
                <w:b/>
                <w:sz w:val="20"/>
                <w:szCs w:val="20"/>
                <w:lang w:val="en-US"/>
              </w:rPr>
            </w:pPr>
          </w:p>
        </w:tc>
        <w:tc>
          <w:tcPr>
            <w:tcW w:w="7371" w:type="dxa"/>
            <w:shd w:val="clear" w:color="auto" w:fill="auto"/>
          </w:tcPr>
          <w:p w14:paraId="67855BF2" w14:textId="77777777" w:rsidR="00DB6890" w:rsidRPr="00676303" w:rsidRDefault="00DB6890" w:rsidP="005B2359">
            <w:pPr>
              <w:pStyle w:val="ListParagraph"/>
              <w:tabs>
                <w:tab w:val="left" w:pos="134"/>
              </w:tabs>
              <w:spacing w:after="0" w:line="20" w:lineRule="atLeast"/>
              <w:ind w:left="134"/>
              <w:rPr>
                <w:rFonts w:asciiTheme="minorHAnsi" w:eastAsia="Times New Roman" w:hAnsiTheme="minorHAnsi" w:cstheme="minorHAnsi"/>
                <w:b/>
                <w:color w:val="000000"/>
                <w:sz w:val="20"/>
                <w:szCs w:val="20"/>
                <w:lang w:val="en-US" w:eastAsia="en-GB"/>
              </w:rPr>
            </w:pPr>
            <w:r w:rsidRPr="00676303">
              <w:rPr>
                <w:rFonts w:asciiTheme="minorHAnsi" w:eastAsiaTheme="minorHAnsi" w:hAnsiTheme="minorHAnsi" w:cstheme="minorHAnsi"/>
                <w:sz w:val="20"/>
                <w:szCs w:val="20"/>
                <w:lang w:val="en-US"/>
              </w:rPr>
              <w:t xml:space="preserve"> </w:t>
            </w:r>
            <w:r w:rsidRPr="00676303">
              <w:rPr>
                <w:rFonts w:asciiTheme="minorHAnsi" w:eastAsiaTheme="minorHAnsi" w:hAnsiTheme="minorHAnsi" w:cstheme="minorHAnsi"/>
                <w:b/>
                <w:sz w:val="20"/>
                <w:szCs w:val="20"/>
                <w:lang w:val="en-US"/>
              </w:rPr>
              <w:t>Cognition/ Knowledge</w:t>
            </w:r>
            <w:r w:rsidRPr="00676303">
              <w:rPr>
                <w:rFonts w:asciiTheme="minorHAnsi" w:eastAsia="Times New Roman" w:hAnsiTheme="minorHAnsi" w:cstheme="minorHAnsi"/>
                <w:b/>
                <w:color w:val="000000"/>
                <w:sz w:val="20"/>
                <w:szCs w:val="20"/>
                <w:lang w:val="en-US" w:eastAsia="en-GB"/>
              </w:rPr>
              <w:t xml:space="preserve"> </w:t>
            </w:r>
          </w:p>
          <w:p w14:paraId="02252FE7" w14:textId="77777777" w:rsidR="00DB6890" w:rsidRPr="00676303" w:rsidRDefault="00DB6890" w:rsidP="005B2359">
            <w:pPr>
              <w:pStyle w:val="ListParagraph"/>
              <w:numPr>
                <w:ilvl w:val="0"/>
                <w:numId w:val="3"/>
              </w:numPr>
              <w:tabs>
                <w:tab w:val="left" w:pos="134"/>
              </w:tabs>
              <w:spacing w:after="0" w:line="20" w:lineRule="atLeast"/>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Discuss reasons why collusion may be requested by family members;</w:t>
            </w:r>
          </w:p>
          <w:p w14:paraId="67AB745A" w14:textId="77777777" w:rsidR="00DB6890" w:rsidRPr="00676303" w:rsidRDefault="00DB6890" w:rsidP="005B2359">
            <w:pPr>
              <w:pStyle w:val="ListParagraph"/>
              <w:numPr>
                <w:ilvl w:val="0"/>
                <w:numId w:val="3"/>
              </w:numPr>
              <w:tabs>
                <w:tab w:val="left" w:pos="134"/>
              </w:tabs>
              <w:spacing w:after="0" w:line="20" w:lineRule="atLeast"/>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Explain the impact of collusion on patient, families and professional team. (Seminar (DM))</w:t>
            </w:r>
          </w:p>
          <w:p w14:paraId="379B8CD2" w14:textId="77777777" w:rsidR="00DB6890" w:rsidRPr="00676303" w:rsidRDefault="00DB6890" w:rsidP="005B2359">
            <w:pPr>
              <w:pStyle w:val="ListParagraph"/>
              <w:numPr>
                <w:ilvl w:val="0"/>
                <w:numId w:val="3"/>
              </w:numPr>
              <w:tabs>
                <w:tab w:val="left" w:pos="134"/>
              </w:tabs>
              <w:spacing w:after="0" w:line="20" w:lineRule="atLeast"/>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Describes the process for addressing collusion. (Online + classroom (DM))</w:t>
            </w:r>
          </w:p>
          <w:p w14:paraId="657622E3" w14:textId="77777777" w:rsidR="00DB6890" w:rsidRPr="00676303" w:rsidRDefault="00DB6890" w:rsidP="005B2359">
            <w:pPr>
              <w:pStyle w:val="ListParagraph"/>
              <w:tabs>
                <w:tab w:val="left" w:pos="134"/>
              </w:tabs>
              <w:spacing w:after="0" w:line="20" w:lineRule="atLeast"/>
              <w:ind w:left="134"/>
              <w:rPr>
                <w:rFonts w:asciiTheme="minorHAnsi" w:eastAsiaTheme="minorHAnsi" w:hAnsiTheme="minorHAnsi" w:cstheme="minorHAnsi"/>
                <w:b/>
                <w:sz w:val="20"/>
                <w:szCs w:val="20"/>
                <w:lang w:val="en-US"/>
              </w:rPr>
            </w:pPr>
            <w:r w:rsidRPr="00676303">
              <w:rPr>
                <w:rFonts w:asciiTheme="minorHAnsi" w:eastAsiaTheme="minorHAnsi" w:hAnsiTheme="minorHAnsi" w:cstheme="minorHAnsi"/>
                <w:b/>
                <w:sz w:val="20"/>
                <w:szCs w:val="20"/>
                <w:lang w:val="en-US"/>
              </w:rPr>
              <w:t xml:space="preserve">Skills </w:t>
            </w:r>
          </w:p>
          <w:p w14:paraId="00254D10" w14:textId="77777777" w:rsidR="00DB6890" w:rsidRPr="00676303" w:rsidRDefault="00DB6890" w:rsidP="005B2359">
            <w:pPr>
              <w:pStyle w:val="ListParagraph"/>
              <w:numPr>
                <w:ilvl w:val="0"/>
                <w:numId w:val="1"/>
              </w:numPr>
              <w:tabs>
                <w:tab w:val="left" w:pos="134"/>
              </w:tabs>
              <w:spacing w:after="0" w:line="20" w:lineRule="atLeast"/>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Demonstrate the steps of an accepted strategy/algorithm for dealing with collusion.   </w:t>
            </w:r>
          </w:p>
          <w:p w14:paraId="320A1630" w14:textId="77777777" w:rsidR="00DB6890" w:rsidRPr="00676303" w:rsidRDefault="00DB6890" w:rsidP="005B2359">
            <w:pPr>
              <w:tabs>
                <w:tab w:val="left" w:pos="134"/>
              </w:tabs>
              <w:spacing w:after="0" w:line="20" w:lineRule="atLeast"/>
              <w:rPr>
                <w:rFonts w:asciiTheme="minorHAnsi" w:eastAsiaTheme="minorHAnsi" w:hAnsiTheme="minorHAnsi" w:cstheme="minorHAnsi"/>
                <w:b/>
                <w:sz w:val="20"/>
                <w:szCs w:val="20"/>
                <w:lang w:val="en-US"/>
              </w:rPr>
            </w:pPr>
            <w:r w:rsidRPr="00676303">
              <w:rPr>
                <w:rFonts w:asciiTheme="minorHAnsi" w:eastAsiaTheme="minorHAnsi" w:hAnsiTheme="minorHAnsi" w:cstheme="minorHAnsi"/>
                <w:b/>
                <w:sz w:val="20"/>
                <w:szCs w:val="20"/>
                <w:lang w:val="en-US"/>
              </w:rPr>
              <w:t xml:space="preserve"> Attitudes </w:t>
            </w:r>
          </w:p>
          <w:p w14:paraId="4801EBD5" w14:textId="77777777" w:rsidR="00DB6890" w:rsidRPr="00676303" w:rsidRDefault="00DB6890" w:rsidP="005B2359">
            <w:pPr>
              <w:pStyle w:val="ListParagraph"/>
              <w:numPr>
                <w:ilvl w:val="0"/>
                <w:numId w:val="1"/>
              </w:numPr>
              <w:tabs>
                <w:tab w:val="left" w:pos="134"/>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heme="minorHAnsi" w:hAnsiTheme="minorHAnsi" w:cstheme="minorHAnsi"/>
                <w:sz w:val="20"/>
                <w:szCs w:val="20"/>
                <w:lang w:val="en-US"/>
              </w:rPr>
              <w:t>Reflect on roles and responsibilities in care and decision making of patients and families in various cultural backgrounds</w:t>
            </w:r>
            <w:r w:rsidRPr="00676303">
              <w:rPr>
                <w:rFonts w:asciiTheme="minorHAnsi" w:eastAsia="Times New Roman" w:hAnsiTheme="minorHAnsi" w:cstheme="minorHAnsi"/>
                <w:color w:val="000000"/>
                <w:sz w:val="20"/>
                <w:szCs w:val="20"/>
                <w:lang w:val="en-US" w:eastAsia="en-GB"/>
              </w:rPr>
              <w:t xml:space="preserve"> </w:t>
            </w:r>
          </w:p>
        </w:tc>
      </w:tr>
      <w:tr w:rsidR="00DB6890" w:rsidRPr="00676303" w14:paraId="1BD97711" w14:textId="77777777" w:rsidTr="005B2359">
        <w:tc>
          <w:tcPr>
            <w:tcW w:w="1838" w:type="dxa"/>
            <w:shd w:val="clear" w:color="auto" w:fill="D9E2F3" w:themeFill="accent1" w:themeFillTint="33"/>
          </w:tcPr>
          <w:p w14:paraId="674F98C2"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371" w:type="dxa"/>
            <w:shd w:val="clear" w:color="auto" w:fill="auto"/>
          </w:tcPr>
          <w:p w14:paraId="73A42D4E"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 Online </w:t>
            </w:r>
          </w:p>
          <w:p w14:paraId="7C6AF993"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Seminar</w:t>
            </w:r>
          </w:p>
          <w:p w14:paraId="2EF58081" w14:textId="77777777"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Small groups</w:t>
            </w:r>
          </w:p>
          <w:p w14:paraId="1B4F9155" w14:textId="77777777"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Video presentation </w:t>
            </w:r>
          </w:p>
          <w:p w14:paraId="568733C2" w14:textId="77777777"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Role play </w:t>
            </w:r>
          </w:p>
        </w:tc>
      </w:tr>
      <w:tr w:rsidR="00DB6890" w:rsidRPr="00676303" w14:paraId="240D878E" w14:textId="77777777" w:rsidTr="005B2359">
        <w:tc>
          <w:tcPr>
            <w:tcW w:w="1838" w:type="dxa"/>
            <w:shd w:val="clear" w:color="auto" w:fill="D9E2F3" w:themeFill="accent1" w:themeFillTint="33"/>
          </w:tcPr>
          <w:p w14:paraId="00B975A3"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371" w:type="dxa"/>
            <w:shd w:val="clear" w:color="auto" w:fill="auto"/>
          </w:tcPr>
          <w:p w14:paraId="65E29301"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30 min online </w:t>
            </w:r>
          </w:p>
          <w:p w14:paraId="402E6E52" w14:textId="77777777" w:rsidR="00DB6890" w:rsidRPr="00676303" w:rsidRDefault="00DB689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Seminar  60 minutes</w:t>
            </w:r>
          </w:p>
          <w:p w14:paraId="504B26BD" w14:textId="48D1C455"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Work in small groups – negative impact of collusion on patients/family members/ patient- healthcare professional relationship 20 min </w:t>
            </w:r>
          </w:p>
          <w:p w14:paraId="6E1A1087" w14:textId="77777777"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Flipchart discussion of the algorithm of dealing with collusion 5 min </w:t>
            </w:r>
          </w:p>
          <w:p w14:paraId="78F8EC26" w14:textId="0538D0DE"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Video presentation (</w:t>
            </w:r>
            <w:proofErr w:type="spellStart"/>
            <w:r w:rsidRPr="00676303">
              <w:rPr>
                <w:rFonts w:asciiTheme="minorHAnsi" w:hAnsiTheme="minorHAnsi" w:cs="Calibri"/>
                <w:sz w:val="20"/>
                <w:szCs w:val="20"/>
                <w:lang w:val="en-US"/>
              </w:rPr>
              <w:t>Medlang</w:t>
            </w:r>
            <w:proofErr w:type="spellEnd"/>
            <w:r w:rsidRPr="00676303">
              <w:rPr>
                <w:rFonts w:asciiTheme="minorHAnsi" w:hAnsiTheme="minorHAnsi" w:cs="Calibri"/>
                <w:sz w:val="20"/>
                <w:szCs w:val="20"/>
                <w:lang w:val="en-US"/>
              </w:rPr>
              <w:t xml:space="preserve"> -MOOC) and discussion 15  min </w:t>
            </w:r>
          </w:p>
          <w:p w14:paraId="0088573C" w14:textId="479547DC"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Role play on the presented scenario 10 min </w:t>
            </w:r>
          </w:p>
          <w:p w14:paraId="09873BCB" w14:textId="77777777" w:rsidR="00DB6890" w:rsidRPr="00676303" w:rsidRDefault="00DB6890"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Group feedback and reflection -10 min </w:t>
            </w:r>
          </w:p>
        </w:tc>
      </w:tr>
      <w:tr w:rsidR="00DB6890" w:rsidRPr="00676303" w14:paraId="6AE1E53B" w14:textId="77777777" w:rsidTr="005B2359">
        <w:tc>
          <w:tcPr>
            <w:tcW w:w="1838" w:type="dxa"/>
            <w:shd w:val="clear" w:color="auto" w:fill="D9E2F3" w:themeFill="accent1" w:themeFillTint="33"/>
          </w:tcPr>
          <w:p w14:paraId="36162964" w14:textId="77777777" w:rsidR="00DB6890" w:rsidRPr="00676303" w:rsidRDefault="00DB689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7371" w:type="dxa"/>
            <w:shd w:val="clear" w:color="auto" w:fill="auto"/>
          </w:tcPr>
          <w:p w14:paraId="0B3EB883" w14:textId="77777777" w:rsidR="00DB6890" w:rsidRPr="00676303" w:rsidRDefault="00DB6890" w:rsidP="005B2359">
            <w:pPr>
              <w:pStyle w:val="ListParagraph"/>
              <w:widowControl w:val="0"/>
              <w:numPr>
                <w:ilvl w:val="0"/>
                <w:numId w:val="2"/>
              </w:numPr>
              <w:autoSpaceDE w:val="0"/>
              <w:autoSpaceDN w:val="0"/>
              <w:adjustRightInd w:val="0"/>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www.medlang.eu</w:t>
            </w:r>
          </w:p>
          <w:p w14:paraId="003926DA" w14:textId="77777777" w:rsidR="00DB6890" w:rsidRPr="00676303" w:rsidRDefault="00DB6890" w:rsidP="005B2359">
            <w:pPr>
              <w:pStyle w:val="ListParagraph"/>
              <w:widowControl w:val="0"/>
              <w:numPr>
                <w:ilvl w:val="0"/>
                <w:numId w:val="2"/>
              </w:numPr>
              <w:autoSpaceDE w:val="0"/>
              <w:autoSpaceDN w:val="0"/>
              <w:adjustRightInd w:val="0"/>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Low JA, Main N, Luan KK, Sun PW. Reducing Collusion Between Family Members and Clinicians of Patients Referred to the Palliative Care Team. The Permanente Journal, 2009, 13 (4), 11-15.</w:t>
            </w:r>
          </w:p>
          <w:p w14:paraId="2B942195" w14:textId="77777777" w:rsidR="00DB6890" w:rsidRPr="00676303" w:rsidRDefault="00DB6890" w:rsidP="005B2359">
            <w:pPr>
              <w:pStyle w:val="ListParagraph"/>
              <w:widowControl w:val="0"/>
              <w:numPr>
                <w:ilvl w:val="0"/>
                <w:numId w:val="2"/>
              </w:numPr>
              <w:autoSpaceDE w:val="0"/>
              <w:autoSpaceDN w:val="0"/>
              <w:adjustRightInd w:val="0"/>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The AM, </w:t>
            </w:r>
            <w:proofErr w:type="spellStart"/>
            <w:r w:rsidRPr="00676303">
              <w:rPr>
                <w:rFonts w:asciiTheme="minorHAnsi" w:hAnsiTheme="minorHAnsi" w:cs="Calibri"/>
                <w:sz w:val="20"/>
                <w:szCs w:val="20"/>
                <w:lang w:val="en-US"/>
              </w:rPr>
              <w:t>Hak</w:t>
            </w:r>
            <w:proofErr w:type="spellEnd"/>
            <w:r w:rsidRPr="00676303">
              <w:rPr>
                <w:rFonts w:asciiTheme="minorHAnsi" w:hAnsiTheme="minorHAnsi" w:cs="Calibri"/>
                <w:sz w:val="20"/>
                <w:szCs w:val="20"/>
                <w:lang w:val="en-US"/>
              </w:rPr>
              <w:t xml:space="preserve"> T, </w:t>
            </w:r>
            <w:proofErr w:type="spellStart"/>
            <w:r w:rsidRPr="00676303">
              <w:rPr>
                <w:rFonts w:asciiTheme="minorHAnsi" w:hAnsiTheme="minorHAnsi" w:cs="Calibri"/>
                <w:sz w:val="20"/>
                <w:szCs w:val="20"/>
                <w:lang w:val="en-US"/>
              </w:rPr>
              <w:t>Koëter</w:t>
            </w:r>
            <w:proofErr w:type="spellEnd"/>
            <w:r w:rsidRPr="00676303">
              <w:rPr>
                <w:rFonts w:asciiTheme="minorHAnsi" w:hAnsiTheme="minorHAnsi" w:cs="Calibri"/>
                <w:sz w:val="20"/>
                <w:szCs w:val="20"/>
                <w:lang w:val="en-US"/>
              </w:rPr>
              <w:t xml:space="preserve"> G, van der Wal G. Collusion in doctor-patient communication about imminent death: an ethnographic study.</w:t>
            </w:r>
            <w:r w:rsidRPr="00676303">
              <w:rPr>
                <w:rFonts w:ascii="MS Gothic" w:eastAsia="MS Gothic" w:hAnsi="MS Gothic" w:cs="MS Gothic"/>
                <w:sz w:val="20"/>
                <w:szCs w:val="20"/>
                <w:lang w:val="en-US"/>
              </w:rPr>
              <w:t> </w:t>
            </w:r>
            <w:r w:rsidRPr="00676303">
              <w:rPr>
                <w:rFonts w:asciiTheme="minorHAnsi" w:hAnsiTheme="minorHAnsi" w:cs="Calibri"/>
                <w:sz w:val="20"/>
                <w:szCs w:val="20"/>
                <w:lang w:val="en-US"/>
              </w:rPr>
              <w:t xml:space="preserve"> BMJ 2000, 321, 1376-1381.</w:t>
            </w:r>
          </w:p>
          <w:p w14:paraId="6CD9274C" w14:textId="77777777" w:rsidR="00DB6890" w:rsidRPr="00676303" w:rsidRDefault="00DB6890" w:rsidP="005B2359">
            <w:pPr>
              <w:pStyle w:val="ListParagraph"/>
              <w:widowControl w:val="0"/>
              <w:numPr>
                <w:ilvl w:val="0"/>
                <w:numId w:val="2"/>
              </w:numPr>
              <w:autoSpaceDE w:val="0"/>
              <w:autoSpaceDN w:val="0"/>
              <w:adjustRightInd w:val="0"/>
              <w:spacing w:after="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Helft</w:t>
            </w:r>
            <w:proofErr w:type="spellEnd"/>
            <w:r w:rsidRPr="00676303">
              <w:rPr>
                <w:rFonts w:asciiTheme="minorHAnsi" w:hAnsiTheme="minorHAnsi" w:cs="Calibri"/>
                <w:sz w:val="20"/>
                <w:szCs w:val="20"/>
                <w:lang w:val="en-US"/>
              </w:rPr>
              <w:t xml:space="preserve"> PR. Necessary Collusion: Prognostic Communication </w:t>
            </w:r>
            <w:proofErr w:type="gramStart"/>
            <w:r w:rsidRPr="00676303">
              <w:rPr>
                <w:rFonts w:asciiTheme="minorHAnsi" w:hAnsiTheme="minorHAnsi" w:cs="Calibri"/>
                <w:sz w:val="20"/>
                <w:szCs w:val="20"/>
                <w:lang w:val="en-US"/>
              </w:rPr>
              <w:t>With</w:t>
            </w:r>
            <w:proofErr w:type="gramEnd"/>
            <w:r w:rsidRPr="00676303">
              <w:rPr>
                <w:rFonts w:asciiTheme="minorHAnsi" w:hAnsiTheme="minorHAnsi" w:cs="Calibri"/>
                <w:sz w:val="20"/>
                <w:szCs w:val="20"/>
                <w:lang w:val="en-US"/>
              </w:rPr>
              <w:t xml:space="preserve"> Advanced Cancer Patients. J Clin Oncol. 2005, 23, 13, 3146-3150. </w:t>
            </w:r>
          </w:p>
          <w:p w14:paraId="61C5727D" w14:textId="77777777" w:rsidR="00DB6890" w:rsidRPr="00676303" w:rsidRDefault="00DB6890" w:rsidP="005B2359">
            <w:pPr>
              <w:pStyle w:val="ListParagraph"/>
              <w:widowControl w:val="0"/>
              <w:numPr>
                <w:ilvl w:val="0"/>
                <w:numId w:val="2"/>
              </w:numPr>
              <w:autoSpaceDE w:val="0"/>
              <w:autoSpaceDN w:val="0"/>
              <w:adjustRightInd w:val="0"/>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Fallowfield LJ, Jenkins VA, Beveridge HA. Truth may hurt but deceit hurts more: communication in palliative care. </w:t>
            </w:r>
            <w:proofErr w:type="spellStart"/>
            <w:r w:rsidRPr="00676303">
              <w:rPr>
                <w:rFonts w:asciiTheme="minorHAnsi" w:hAnsiTheme="minorHAnsi" w:cs="Calibri"/>
                <w:sz w:val="20"/>
                <w:szCs w:val="20"/>
                <w:lang w:val="en-US"/>
              </w:rPr>
              <w:t>Palliat</w:t>
            </w:r>
            <w:proofErr w:type="spellEnd"/>
            <w:r w:rsidRPr="00676303">
              <w:rPr>
                <w:rFonts w:asciiTheme="minorHAnsi" w:hAnsiTheme="minorHAnsi" w:cs="Calibri"/>
                <w:sz w:val="20"/>
                <w:szCs w:val="20"/>
                <w:lang w:val="en-US"/>
              </w:rPr>
              <w:t xml:space="preserve"> Med. 2002;16:297-303 </w:t>
            </w:r>
          </w:p>
          <w:p w14:paraId="6EC60431" w14:textId="77777777" w:rsidR="00DB6890" w:rsidRPr="00676303" w:rsidRDefault="00DB6890" w:rsidP="005B2359">
            <w:pPr>
              <w:pStyle w:val="ListParagraph"/>
              <w:numPr>
                <w:ilvl w:val="0"/>
                <w:numId w:val="2"/>
              </w:numPr>
              <w:spacing w:after="0" w:line="20" w:lineRule="atLeast"/>
              <w:ind w:right="453"/>
              <w:rPr>
                <w:rFonts w:asciiTheme="minorHAnsi" w:hAnsiTheme="minorHAnsi" w:cs="Calibri"/>
                <w:sz w:val="20"/>
                <w:szCs w:val="20"/>
                <w:lang w:val="en-US"/>
              </w:rPr>
            </w:pPr>
            <w:proofErr w:type="spellStart"/>
            <w:r w:rsidRPr="00676303">
              <w:rPr>
                <w:rFonts w:asciiTheme="minorHAnsi" w:hAnsiTheme="minorHAnsi" w:cs="Calibri"/>
                <w:sz w:val="20"/>
                <w:szCs w:val="20"/>
                <w:lang w:val="en-US"/>
              </w:rPr>
              <w:lastRenderedPageBreak/>
              <w:t>Panagopoulou</w:t>
            </w:r>
            <w:proofErr w:type="spellEnd"/>
            <w:r w:rsidRPr="00676303">
              <w:rPr>
                <w:rFonts w:asciiTheme="minorHAnsi" w:hAnsiTheme="minorHAnsi" w:cs="Calibri"/>
                <w:sz w:val="20"/>
                <w:szCs w:val="20"/>
                <w:lang w:val="en-US"/>
              </w:rPr>
              <w:t xml:space="preserve"> E, </w:t>
            </w:r>
            <w:proofErr w:type="spellStart"/>
            <w:r w:rsidRPr="00676303">
              <w:rPr>
                <w:rFonts w:asciiTheme="minorHAnsi" w:hAnsiTheme="minorHAnsi" w:cs="Calibri"/>
                <w:sz w:val="20"/>
                <w:szCs w:val="20"/>
                <w:lang w:val="en-US"/>
              </w:rPr>
              <w:t>Mintziori</w:t>
            </w:r>
            <w:proofErr w:type="spellEnd"/>
            <w:r w:rsidRPr="00676303">
              <w:rPr>
                <w:rFonts w:asciiTheme="minorHAnsi" w:hAnsiTheme="minorHAnsi" w:cs="Calibri"/>
                <w:sz w:val="20"/>
                <w:szCs w:val="20"/>
                <w:lang w:val="en-US"/>
              </w:rPr>
              <w:t xml:space="preserve"> G, Montgomery A, </w:t>
            </w:r>
            <w:proofErr w:type="spellStart"/>
            <w:r w:rsidRPr="00676303">
              <w:rPr>
                <w:rFonts w:asciiTheme="minorHAnsi" w:hAnsiTheme="minorHAnsi" w:cs="Calibri"/>
                <w:sz w:val="20"/>
                <w:szCs w:val="20"/>
                <w:lang w:val="en-US"/>
              </w:rPr>
              <w:t>Kapoukranidou</w:t>
            </w:r>
            <w:proofErr w:type="spellEnd"/>
            <w:r w:rsidRPr="00676303">
              <w:rPr>
                <w:rFonts w:asciiTheme="minorHAnsi" w:hAnsiTheme="minorHAnsi" w:cs="Calibri"/>
                <w:sz w:val="20"/>
                <w:szCs w:val="20"/>
                <w:lang w:val="en-US"/>
              </w:rPr>
              <w:t xml:space="preserve"> D, </w:t>
            </w:r>
            <w:proofErr w:type="spellStart"/>
            <w:r w:rsidRPr="00676303">
              <w:rPr>
                <w:rFonts w:asciiTheme="minorHAnsi" w:hAnsiTheme="minorHAnsi" w:cs="Calibri"/>
                <w:sz w:val="20"/>
                <w:szCs w:val="20"/>
                <w:lang w:val="en-US"/>
              </w:rPr>
              <w:t>Benos</w:t>
            </w:r>
            <w:proofErr w:type="spellEnd"/>
            <w:r w:rsidRPr="00676303">
              <w:rPr>
                <w:rFonts w:asciiTheme="minorHAnsi" w:hAnsiTheme="minorHAnsi" w:cs="Calibri"/>
                <w:sz w:val="20"/>
                <w:szCs w:val="20"/>
                <w:lang w:val="en-US"/>
              </w:rPr>
              <w:t xml:space="preserve"> A. Concealment of information in clinical practice: is lying less stressful than telling the truth? J Clin Oncol. 2008; 26(7):1175–7.</w:t>
            </w:r>
          </w:p>
          <w:p w14:paraId="3D9BC363" w14:textId="77777777" w:rsidR="00DB6890" w:rsidRPr="00676303" w:rsidRDefault="00DB6890" w:rsidP="005B2359">
            <w:pPr>
              <w:pStyle w:val="NormalWeb"/>
              <w:numPr>
                <w:ilvl w:val="0"/>
                <w:numId w:val="2"/>
              </w:numPr>
              <w:spacing w:before="0" w:beforeAutospacing="0" w:after="0" w:afterAutospacing="0" w:line="20" w:lineRule="atLeast"/>
              <w:rPr>
                <w:rFonts w:asciiTheme="minorHAnsi" w:eastAsia="Calibri" w:hAnsiTheme="minorHAnsi" w:cs="Calibri"/>
                <w:sz w:val="20"/>
                <w:szCs w:val="20"/>
              </w:rPr>
            </w:pPr>
            <w:proofErr w:type="spellStart"/>
            <w:r w:rsidRPr="00676303">
              <w:rPr>
                <w:rFonts w:asciiTheme="minorHAnsi" w:eastAsia="Calibri" w:hAnsiTheme="minorHAnsi" w:cs="Calibri"/>
                <w:sz w:val="20"/>
                <w:szCs w:val="20"/>
              </w:rPr>
              <w:t>Stiefel</w:t>
            </w:r>
            <w:proofErr w:type="spellEnd"/>
            <w:r w:rsidRPr="00676303">
              <w:rPr>
                <w:rFonts w:asciiTheme="minorHAnsi" w:eastAsia="Calibri" w:hAnsiTheme="minorHAnsi" w:cs="Calibri"/>
                <w:sz w:val="20"/>
                <w:szCs w:val="20"/>
              </w:rPr>
              <w:t xml:space="preserve"> F, Nakamura K. Collusions between patients and clinicians in end-of-life care: why clarity matters. Journal of Pain and Symptom Management (2017), </w:t>
            </w:r>
            <w:proofErr w:type="spellStart"/>
            <w:r w:rsidRPr="00676303">
              <w:rPr>
                <w:rFonts w:asciiTheme="minorHAnsi" w:eastAsia="Calibri" w:hAnsiTheme="minorHAnsi" w:cs="Calibri"/>
                <w:sz w:val="20"/>
                <w:szCs w:val="20"/>
              </w:rPr>
              <w:t>doi</w:t>
            </w:r>
            <w:proofErr w:type="spellEnd"/>
            <w:r w:rsidRPr="00676303">
              <w:rPr>
                <w:rFonts w:asciiTheme="minorHAnsi" w:eastAsia="Calibri" w:hAnsiTheme="minorHAnsi" w:cs="Calibri"/>
                <w:sz w:val="20"/>
                <w:szCs w:val="20"/>
              </w:rPr>
              <w:t xml:space="preserve">: 10.1016/j.jpainsymman.2016.11.011. </w:t>
            </w:r>
          </w:p>
          <w:p w14:paraId="1BA382E9" w14:textId="77777777" w:rsidR="00DB6890" w:rsidRPr="00676303" w:rsidRDefault="00DB6890" w:rsidP="005B2359">
            <w:pPr>
              <w:pStyle w:val="NormalWeb"/>
              <w:numPr>
                <w:ilvl w:val="0"/>
                <w:numId w:val="2"/>
              </w:numPr>
              <w:spacing w:before="0" w:beforeAutospacing="0" w:after="0" w:afterAutospacing="0" w:line="20" w:lineRule="atLeast"/>
              <w:rPr>
                <w:rFonts w:asciiTheme="minorHAnsi" w:hAnsiTheme="minorHAnsi" w:cs="Arial"/>
                <w:sz w:val="20"/>
                <w:szCs w:val="20"/>
              </w:rPr>
            </w:pPr>
            <w:r w:rsidRPr="00676303">
              <w:rPr>
                <w:rFonts w:asciiTheme="minorHAnsi" w:eastAsia="Calibri" w:hAnsiTheme="minorHAnsi" w:cs="Calibri"/>
                <w:sz w:val="20"/>
                <w:szCs w:val="20"/>
              </w:rPr>
              <w:t xml:space="preserve">Chaturvedi, S.K., Loiselle, C.G., Chandra, P.S. Communication with relatives and collusions in palliative care: a cross-cultural perspective. </w:t>
            </w:r>
            <w:proofErr w:type="spellStart"/>
            <w:r w:rsidRPr="00676303">
              <w:rPr>
                <w:rFonts w:asciiTheme="minorHAnsi" w:eastAsia="Calibri" w:hAnsiTheme="minorHAnsi" w:cs="Calibri"/>
                <w:sz w:val="20"/>
                <w:szCs w:val="20"/>
              </w:rPr>
              <w:t>Int</w:t>
            </w:r>
            <w:proofErr w:type="spellEnd"/>
            <w:r w:rsidRPr="00676303">
              <w:rPr>
                <w:rFonts w:asciiTheme="minorHAnsi" w:eastAsia="Calibri" w:hAnsiTheme="minorHAnsi" w:cs="Calibri"/>
                <w:sz w:val="20"/>
                <w:szCs w:val="20"/>
              </w:rPr>
              <w:t xml:space="preserve"> J </w:t>
            </w:r>
            <w:proofErr w:type="spellStart"/>
            <w:r w:rsidRPr="00676303">
              <w:rPr>
                <w:rFonts w:asciiTheme="minorHAnsi" w:eastAsia="Calibri" w:hAnsiTheme="minorHAnsi" w:cs="Calibri"/>
                <w:sz w:val="20"/>
                <w:szCs w:val="20"/>
              </w:rPr>
              <w:t>Palliat</w:t>
            </w:r>
            <w:proofErr w:type="spellEnd"/>
            <w:r w:rsidRPr="00676303">
              <w:rPr>
                <w:rFonts w:asciiTheme="minorHAnsi" w:eastAsia="Calibri" w:hAnsiTheme="minorHAnsi" w:cs="Calibri"/>
                <w:sz w:val="20"/>
                <w:szCs w:val="20"/>
              </w:rPr>
              <w:t xml:space="preserve"> Care. 2009;15:2–9</w:t>
            </w:r>
          </w:p>
        </w:tc>
      </w:tr>
    </w:tbl>
    <w:p w14:paraId="0B29A2A4" w14:textId="77777777" w:rsidR="00DB6890" w:rsidRDefault="00DB6890"/>
    <w:sectPr w:rsidR="00DB6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293C"/>
    <w:multiLevelType w:val="hybridMultilevel"/>
    <w:tmpl w:val="A4A4B0FA"/>
    <w:lvl w:ilvl="0" w:tplc="01C42B90">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753E"/>
    <w:multiLevelType w:val="hybridMultilevel"/>
    <w:tmpl w:val="E9D4112C"/>
    <w:lvl w:ilvl="0" w:tplc="0D68CA42">
      <w:start w:val="19"/>
      <w:numFmt w:val="bullet"/>
      <w:lvlText w:val="-"/>
      <w:lvlJc w:val="left"/>
      <w:pPr>
        <w:ind w:left="628" w:hanging="360"/>
      </w:pPr>
      <w:rPr>
        <w:rFonts w:ascii="Calibri" w:eastAsiaTheme="minorHAnsi" w:hAnsi="Calibri" w:cstheme="minorHAnsi"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
    <w:nsid w:val="30B6704D"/>
    <w:multiLevelType w:val="hybridMultilevel"/>
    <w:tmpl w:val="226AB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90"/>
    <w:rsid w:val="003007B1"/>
    <w:rsid w:val="00550530"/>
    <w:rsid w:val="006F184C"/>
    <w:rsid w:val="00DB6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89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890"/>
    <w:pPr>
      <w:spacing w:after="200" w:line="276" w:lineRule="auto"/>
      <w:ind w:left="720"/>
      <w:contextualSpacing/>
    </w:pPr>
    <w:rPr>
      <w:lang w:val="ro-RO"/>
    </w:rPr>
  </w:style>
  <w:style w:type="paragraph" w:styleId="NormalWeb">
    <w:name w:val="Normal (Web)"/>
    <w:basedOn w:val="Normal"/>
    <w:uiPriority w:val="99"/>
    <w:unhideWhenUsed/>
    <w:rsid w:val="00DB6890"/>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89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890"/>
    <w:pPr>
      <w:spacing w:after="200" w:line="276" w:lineRule="auto"/>
      <w:ind w:left="720"/>
      <w:contextualSpacing/>
    </w:pPr>
    <w:rPr>
      <w:lang w:val="ro-RO"/>
    </w:rPr>
  </w:style>
  <w:style w:type="paragraph" w:styleId="NormalWeb">
    <w:name w:val="Normal (Web)"/>
    <w:basedOn w:val="Normal"/>
    <w:uiPriority w:val="99"/>
    <w:unhideWhenUsed/>
    <w:rsid w:val="00DB6890"/>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2020-02-17T12:48:00Z</dcterms:created>
  <dcterms:modified xsi:type="dcterms:W3CDTF">2020-02-19T14:27:00Z</dcterms:modified>
</cp:coreProperties>
</file>