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376"/>
      </w:tblGrid>
      <w:tr w:rsidR="00D85FA3" w:rsidRPr="00676303" w14:paraId="0BAFB510" w14:textId="77777777" w:rsidTr="005B2359">
        <w:tc>
          <w:tcPr>
            <w:tcW w:w="9072" w:type="dxa"/>
            <w:gridSpan w:val="2"/>
            <w:shd w:val="clear" w:color="auto" w:fill="D9E2F3" w:themeFill="accent1" w:themeFillTint="33"/>
          </w:tcPr>
          <w:p w14:paraId="50BA071D" w14:textId="77777777" w:rsidR="00D85FA3" w:rsidRPr="00676303" w:rsidRDefault="00D85FA3" w:rsidP="005B2359">
            <w:pPr>
              <w:spacing w:after="0" w:line="20" w:lineRule="atLeast"/>
              <w:jc w:val="center"/>
              <w:rPr>
                <w:rFonts w:asciiTheme="minorHAnsi" w:hAnsiTheme="minorHAnsi" w:cs="Calibr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i/>
                <w:sz w:val="20"/>
                <w:szCs w:val="20"/>
                <w:lang w:val="en-US"/>
              </w:rPr>
              <w:t xml:space="preserve">Lesson Plan </w:t>
            </w:r>
          </w:p>
        </w:tc>
      </w:tr>
      <w:tr w:rsidR="00D85FA3" w:rsidRPr="00676303" w14:paraId="0498281F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6EC1CBE6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Topic</w:t>
            </w:r>
          </w:p>
        </w:tc>
        <w:tc>
          <w:tcPr>
            <w:tcW w:w="7376" w:type="dxa"/>
            <w:shd w:val="clear" w:color="auto" w:fill="auto"/>
          </w:tcPr>
          <w:p w14:paraId="1BB83363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Communication </w:t>
            </w:r>
          </w:p>
        </w:tc>
      </w:tr>
      <w:tr w:rsidR="00D85FA3" w:rsidRPr="00676303" w14:paraId="2553D5E2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5C47E7DB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Teaching Unit</w:t>
            </w:r>
          </w:p>
        </w:tc>
        <w:tc>
          <w:tcPr>
            <w:tcW w:w="7376" w:type="dxa"/>
            <w:shd w:val="clear" w:color="auto" w:fill="auto"/>
          </w:tcPr>
          <w:p w14:paraId="4D96980C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bCs/>
                <w:sz w:val="20"/>
                <w:szCs w:val="20"/>
                <w:lang w:val="en-US"/>
              </w:rPr>
              <w:t xml:space="preserve">Communication Challenges in Palliative Care - 2h </w:t>
            </w:r>
          </w:p>
        </w:tc>
      </w:tr>
      <w:tr w:rsidR="00D85FA3" w:rsidRPr="00676303" w14:paraId="305AA417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1C410A8F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Learning Outcome </w:t>
            </w:r>
          </w:p>
        </w:tc>
        <w:tc>
          <w:tcPr>
            <w:tcW w:w="7376" w:type="dxa"/>
            <w:shd w:val="clear" w:color="auto" w:fill="auto"/>
          </w:tcPr>
          <w:p w14:paraId="063EC00F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Evaluate and respond to challenging situations that may be encountered by employing facilitative communication skills and strategies. </w:t>
            </w:r>
          </w:p>
        </w:tc>
      </w:tr>
      <w:tr w:rsidR="00D85FA3" w:rsidRPr="00676303" w14:paraId="07B7E6F1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2055D961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Summary </w:t>
            </w:r>
          </w:p>
        </w:tc>
        <w:tc>
          <w:tcPr>
            <w:tcW w:w="7376" w:type="dxa"/>
            <w:shd w:val="clear" w:color="auto" w:fill="auto"/>
          </w:tcPr>
          <w:p w14:paraId="18811B9B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Telling the patient and family bad news is one of the biggest challenges in medicine.</w:t>
            </w:r>
          </w:p>
          <w:p w14:paraId="2C0CDA15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Patients may react differently when receiving bad news which will change their whole life within one moment. </w:t>
            </w:r>
          </w:p>
          <w:p w14:paraId="04172A21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The session aims to empower students to use communication strategies such as the communication model SPIKES (setting-perception-invitation-knowledge-empathy-summary) to best deal with the difficult task to give bad diagnosis and prognosis.</w:t>
            </w:r>
          </w:p>
        </w:tc>
      </w:tr>
      <w:tr w:rsidR="00D85FA3" w:rsidRPr="00676303" w14:paraId="05F3D789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352372CF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Learning Objectives</w:t>
            </w:r>
          </w:p>
          <w:p w14:paraId="2BF83F13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  <w:p w14:paraId="6D988781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C – Cognition </w:t>
            </w:r>
          </w:p>
          <w:p w14:paraId="0F934445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S – Skills </w:t>
            </w:r>
          </w:p>
          <w:p w14:paraId="1FAECDD4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A – Attitudes</w:t>
            </w:r>
          </w:p>
        </w:tc>
        <w:tc>
          <w:tcPr>
            <w:tcW w:w="7376" w:type="dxa"/>
            <w:shd w:val="clear" w:color="auto" w:fill="auto"/>
          </w:tcPr>
          <w:p w14:paraId="27FA42A8" w14:textId="77777777" w:rsidR="004A25A0" w:rsidRDefault="004A25A0" w:rsidP="004A25A0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Cognition </w:t>
            </w:r>
          </w:p>
          <w:p w14:paraId="798628B4" w14:textId="46DBF7E1" w:rsidR="00D85FA3" w:rsidRPr="00676303" w:rsidRDefault="00D85FA3" w:rsidP="004A25A0">
            <w:pPr>
              <w:spacing w:after="0" w:line="20" w:lineRule="atLeast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The student…</w:t>
            </w:r>
          </w:p>
          <w:p w14:paraId="2AD475AE" w14:textId="77777777" w:rsidR="00D85FA3" w:rsidRPr="00676303" w:rsidRDefault="00D85FA3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recognizes when information may be perceived as “Bad News”</w:t>
            </w:r>
          </w:p>
          <w:p w14:paraId="33B36A74" w14:textId="77777777" w:rsidR="00D85FA3" w:rsidRPr="00676303" w:rsidRDefault="00D85FA3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proofErr w:type="gramStart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critically</w:t>
            </w:r>
            <w:proofErr w:type="gramEnd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 understand the sequence and relationship between the steps in breaking Bad News (from an accepted model – e.g. SPIKES. </w:t>
            </w:r>
          </w:p>
          <w:p w14:paraId="5648A959" w14:textId="77777777" w:rsidR="004A25A0" w:rsidRPr="004A25A0" w:rsidRDefault="004A25A0" w:rsidP="004A25A0">
            <w:pPr>
              <w:spacing w:after="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4A25A0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Skills </w:t>
            </w:r>
          </w:p>
          <w:p w14:paraId="1574B355" w14:textId="3C959492" w:rsidR="00D85FA3" w:rsidRPr="00676303" w:rsidRDefault="00D85FA3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proofErr w:type="gramStart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can</w:t>
            </w:r>
            <w:proofErr w:type="gramEnd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demonstrate patient </w:t>
            </w:r>
            <w:r w:rsidR="008952DF"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centered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approaches to breaking bad news to simulated patients/family member. </w:t>
            </w:r>
          </w:p>
          <w:p w14:paraId="0C5D2493" w14:textId="77777777" w:rsidR="004A25A0" w:rsidRPr="004A25A0" w:rsidRDefault="004A25A0" w:rsidP="004A25A0">
            <w:pPr>
              <w:tabs>
                <w:tab w:val="left" w:pos="134"/>
              </w:tabs>
              <w:spacing w:after="0" w:line="20" w:lineRule="atLeas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r w:rsidRPr="004A25A0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Attitudes</w:t>
            </w:r>
            <w:r w:rsidRPr="004A25A0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14:paraId="49100099" w14:textId="6C50E1FB" w:rsidR="00D85FA3" w:rsidRPr="00676303" w:rsidRDefault="00D85FA3" w:rsidP="005B2359">
            <w:pPr>
              <w:pStyle w:val="ListParagraph"/>
              <w:numPr>
                <w:ilvl w:val="0"/>
                <w:numId w:val="1"/>
              </w:numPr>
              <w:tabs>
                <w:tab w:val="left" w:pos="134"/>
              </w:tabs>
              <w:spacing w:after="0" w:line="20" w:lineRule="atLeas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proofErr w:type="gramStart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values</w:t>
            </w:r>
            <w:proofErr w:type="gramEnd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the individual wishes of patients and their families - responds with patient </w:t>
            </w:r>
            <w:r w:rsidR="008952DF"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centered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, empathetic communication responses and questions. </w:t>
            </w:r>
          </w:p>
        </w:tc>
      </w:tr>
      <w:tr w:rsidR="00D85FA3" w:rsidRPr="00676303" w14:paraId="4A790CE4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76A05019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Learning Methods</w:t>
            </w:r>
          </w:p>
        </w:tc>
        <w:tc>
          <w:tcPr>
            <w:tcW w:w="7376" w:type="dxa"/>
            <w:shd w:val="clear" w:color="auto" w:fill="auto"/>
          </w:tcPr>
          <w:p w14:paraId="7F2DCB29" w14:textId="77777777" w:rsidR="00D85FA3" w:rsidRPr="00676303" w:rsidRDefault="00D85FA3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C 1-2: Online plus seminar, i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nteractive seminar</w:t>
            </w:r>
          </w:p>
          <w:p w14:paraId="1AD7DC4F" w14:textId="77777777" w:rsidR="00D85FA3" w:rsidRPr="00676303" w:rsidRDefault="00D85FA3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S 1: Simulation with actor patients or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 bedside training</w:t>
            </w:r>
          </w:p>
          <w:p w14:paraId="2BCBF4BF" w14:textId="559756B5" w:rsidR="00D85FA3" w:rsidRPr="004A25A0" w:rsidRDefault="00D85FA3" w:rsidP="004A25A0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A 1: Seminar</w:t>
            </w:r>
          </w:p>
        </w:tc>
      </w:tr>
      <w:tr w:rsidR="00D85FA3" w:rsidRPr="00676303" w14:paraId="518B37ED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20F067F0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Timing </w:t>
            </w:r>
          </w:p>
        </w:tc>
        <w:tc>
          <w:tcPr>
            <w:tcW w:w="7376" w:type="dxa"/>
            <w:shd w:val="clear" w:color="auto" w:fill="auto"/>
          </w:tcPr>
          <w:p w14:paraId="41D02540" w14:textId="77777777" w:rsidR="00D85FA3" w:rsidRPr="00676303" w:rsidRDefault="00D85FA3" w:rsidP="004A25A0">
            <w:pPr>
              <w:spacing w:after="12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Following the suggested Learning Methods above here </w:t>
            </w: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an example schedule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for a 90 minutes teaching unit:</w:t>
            </w:r>
          </w:p>
          <w:p w14:paraId="6931D187" w14:textId="77777777" w:rsidR="00D85FA3" w:rsidRPr="00676303" w:rsidRDefault="00D85FA3" w:rsidP="004A25A0">
            <w:pPr>
              <w:spacing w:after="12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10 min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(Online) seminar with an introduction video on the theory behind the SPIKES model.</w:t>
            </w:r>
          </w:p>
          <w:p w14:paraId="37401A9C" w14:textId="4743C7E6" w:rsidR="00D85FA3" w:rsidRPr="00676303" w:rsidRDefault="00D85FA3" w:rsidP="004A25A0">
            <w:pPr>
              <w:spacing w:after="12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60 min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(2 x 30 min) small group work with 2 parallel performed simulated </w:t>
            </w:r>
            <w:r w:rsidR="008952DF"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patients’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scenarios in which trained actor patients challenge the skills of the students to demonstrate 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the ability to use SPIKES. </w:t>
            </w:r>
            <w:bookmarkStart w:id="0" w:name="_GoBack"/>
            <w:bookmarkEnd w:id="0"/>
          </w:p>
          <w:p w14:paraId="3149A219" w14:textId="77777777" w:rsidR="00D85FA3" w:rsidRPr="00676303" w:rsidRDefault="00D85FA3" w:rsidP="004A25A0">
            <w:pPr>
              <w:spacing w:after="12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A small group of 8 to 16 students should be divided by two (4 to 8 students) for the work in the simulated scenario (2 parallel scenarios!), there would be a change of the subgroups within the scenarios after 30 minutes. Only one student out of each subgroup could perform as a “doctor”, the others give feedback and reflect on the performances. The whole session is supervised by an academic moderator.</w:t>
            </w:r>
          </w:p>
          <w:p w14:paraId="70DC613C" w14:textId="77777777" w:rsidR="00D85FA3" w:rsidRPr="00676303" w:rsidRDefault="00D85FA3" w:rsidP="004A25A0">
            <w:pPr>
              <w:spacing w:after="12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n-US"/>
              </w:rPr>
              <w:t xml:space="preserve">20 min </w:t>
            </w: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Showing a video (8 min) in which the situation escalates (Judith by </w:t>
            </w:r>
            <w:proofErr w:type="spellStart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Grunenthal</w:t>
            </w:r>
            <w:proofErr w:type="spellEnd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) followed by an interactive discussion taking into account the contents of the video and the own experiences within the role play situation.</w:t>
            </w:r>
          </w:p>
        </w:tc>
      </w:tr>
      <w:tr w:rsidR="00D85FA3" w:rsidRPr="00676303" w14:paraId="2A515E12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64ED661F" w14:textId="77777777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Bibliography/Resources </w:t>
            </w:r>
          </w:p>
        </w:tc>
        <w:tc>
          <w:tcPr>
            <w:tcW w:w="7376" w:type="dxa"/>
            <w:shd w:val="clear" w:color="auto" w:fill="auto"/>
          </w:tcPr>
          <w:p w14:paraId="0273AA1A" w14:textId="1EB07AC8" w:rsidR="00D85FA3" w:rsidRPr="00676303" w:rsidRDefault="00D85FA3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  <w:t>Oxford Textbook of Palliative Medicine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. Section 6: Communication and palliative medicine. 6.1. Communication with the patient and </w:t>
            </w:r>
            <w:r w:rsidR="008952DF"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family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br/>
              <w:t>pp 33</w:t>
            </w:r>
            <w:r w:rsidR="004A25A0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7-44. Fifth Edition 2015;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paperback edition 2018</w:t>
            </w:r>
          </w:p>
        </w:tc>
      </w:tr>
    </w:tbl>
    <w:p w14:paraId="3FCE2A30" w14:textId="77777777" w:rsidR="006F184C" w:rsidRDefault="006F184C"/>
    <w:sectPr w:rsidR="006F1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3E"/>
    <w:multiLevelType w:val="hybridMultilevel"/>
    <w:tmpl w:val="E9D4112C"/>
    <w:lvl w:ilvl="0" w:tplc="0D68CA42">
      <w:start w:val="19"/>
      <w:numFmt w:val="bullet"/>
      <w:lvlText w:val="-"/>
      <w:lvlJc w:val="left"/>
      <w:pPr>
        <w:ind w:left="628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A3"/>
    <w:rsid w:val="004A25A0"/>
    <w:rsid w:val="006F184C"/>
    <w:rsid w:val="008952DF"/>
    <w:rsid w:val="00D8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22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FA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FA3"/>
    <w:pPr>
      <w:spacing w:after="200" w:line="276" w:lineRule="auto"/>
      <w:ind w:left="720"/>
      <w:contextualSpacing/>
    </w:pPr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FA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FA3"/>
    <w:pPr>
      <w:spacing w:after="200" w:line="276" w:lineRule="auto"/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Stanciulescu</dc:creator>
  <cp:keywords/>
  <dc:description/>
  <cp:lastModifiedBy>Karen Charnley</cp:lastModifiedBy>
  <cp:revision>3</cp:revision>
  <dcterms:created xsi:type="dcterms:W3CDTF">2020-02-17T12:36:00Z</dcterms:created>
  <dcterms:modified xsi:type="dcterms:W3CDTF">2020-02-19T14:22:00Z</dcterms:modified>
</cp:coreProperties>
</file>