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7654"/>
      </w:tblGrid>
      <w:tr w:rsidR="00CC50DE" w:rsidRPr="00676303" w14:paraId="544DDD16" w14:textId="77777777" w:rsidTr="003162D7">
        <w:tc>
          <w:tcPr>
            <w:tcW w:w="9668" w:type="dxa"/>
            <w:gridSpan w:val="2"/>
            <w:shd w:val="clear" w:color="auto" w:fill="DBE5F1" w:themeFill="accent1" w:themeFillTint="33"/>
          </w:tcPr>
          <w:p w14:paraId="1CF73F8E" w14:textId="77777777" w:rsidR="00CC50DE" w:rsidRPr="00676303" w:rsidRDefault="00CC50DE" w:rsidP="00610755">
            <w:pPr>
              <w:spacing w:after="0" w:line="20" w:lineRule="atLeast"/>
              <w:jc w:val="center"/>
              <w:rPr>
                <w:rFonts w:asciiTheme="minorHAnsi" w:hAnsiTheme="minorHAnsi" w:cstheme="minorHAnsi"/>
                <w:b/>
                <w:i/>
                <w:sz w:val="20"/>
                <w:szCs w:val="20"/>
                <w:lang w:val="en-US"/>
              </w:rPr>
            </w:pPr>
            <w:r w:rsidRPr="00676303">
              <w:rPr>
                <w:rFonts w:asciiTheme="minorHAnsi" w:hAnsiTheme="minorHAnsi" w:cstheme="minorHAnsi"/>
                <w:b/>
                <w:i/>
                <w:sz w:val="20"/>
                <w:szCs w:val="20"/>
                <w:lang w:val="en-US"/>
              </w:rPr>
              <w:t xml:space="preserve">Lesson Plan </w:t>
            </w:r>
          </w:p>
        </w:tc>
      </w:tr>
      <w:tr w:rsidR="00CC50DE" w:rsidRPr="00676303" w14:paraId="6D7EFF46" w14:textId="77777777" w:rsidTr="003162D7">
        <w:trPr>
          <w:trHeight w:val="306"/>
        </w:trPr>
        <w:tc>
          <w:tcPr>
            <w:tcW w:w="2014" w:type="dxa"/>
            <w:shd w:val="clear" w:color="auto" w:fill="DBE5F1" w:themeFill="accent1" w:themeFillTint="33"/>
          </w:tcPr>
          <w:p w14:paraId="4A277F2A"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Teaching Unit</w:t>
            </w:r>
          </w:p>
        </w:tc>
        <w:tc>
          <w:tcPr>
            <w:tcW w:w="7654" w:type="dxa"/>
            <w:shd w:val="clear" w:color="auto" w:fill="auto"/>
          </w:tcPr>
          <w:p w14:paraId="684656DB" w14:textId="77777777" w:rsidR="00CC50DE" w:rsidRPr="00676303" w:rsidRDefault="00CC50DE" w:rsidP="00610755">
            <w:pPr>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hAnsiTheme="minorHAnsi" w:cstheme="minorHAnsi"/>
                <w:sz w:val="20"/>
                <w:szCs w:val="20"/>
                <w:lang w:val="en-US"/>
              </w:rPr>
              <w:t>Symptom Assessment and Management</w:t>
            </w:r>
            <w:r w:rsidRPr="00676303">
              <w:rPr>
                <w:rFonts w:asciiTheme="minorHAnsi" w:eastAsia="Times New Roman" w:hAnsiTheme="minorHAnsi" w:cstheme="minorHAnsi"/>
                <w:bCs/>
                <w:color w:val="000000"/>
                <w:sz w:val="20"/>
                <w:szCs w:val="20"/>
                <w:lang w:val="en-US" w:eastAsia="en-GB"/>
              </w:rPr>
              <w:t xml:space="preserve"> </w:t>
            </w:r>
          </w:p>
        </w:tc>
      </w:tr>
      <w:tr w:rsidR="00CC50DE" w:rsidRPr="00676303" w14:paraId="0A22B58C" w14:textId="77777777" w:rsidTr="003162D7">
        <w:tc>
          <w:tcPr>
            <w:tcW w:w="2014" w:type="dxa"/>
            <w:shd w:val="clear" w:color="auto" w:fill="DBE5F1" w:themeFill="accent1" w:themeFillTint="33"/>
          </w:tcPr>
          <w:p w14:paraId="3C1419F7"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Title</w:t>
            </w:r>
          </w:p>
        </w:tc>
        <w:tc>
          <w:tcPr>
            <w:tcW w:w="7654" w:type="dxa"/>
            <w:shd w:val="clear" w:color="auto" w:fill="auto"/>
          </w:tcPr>
          <w:p w14:paraId="6A34E42E" w14:textId="77777777" w:rsidR="00CC50DE" w:rsidRPr="00676303" w:rsidRDefault="00CC50DE" w:rsidP="00610755">
            <w:pPr>
              <w:spacing w:after="0" w:line="20" w:lineRule="atLeast"/>
              <w:rPr>
                <w:rFonts w:asciiTheme="minorHAnsi" w:hAnsiTheme="minorHAnsi" w:cstheme="minorHAnsi"/>
                <w:b/>
                <w:iCs/>
                <w:sz w:val="20"/>
                <w:szCs w:val="20"/>
                <w:lang w:val="en-US"/>
              </w:rPr>
            </w:pPr>
            <w:r w:rsidRPr="00676303">
              <w:rPr>
                <w:rFonts w:asciiTheme="minorHAnsi" w:hAnsiTheme="minorHAnsi" w:cstheme="minorHAnsi"/>
                <w:b/>
                <w:iCs/>
                <w:sz w:val="20"/>
                <w:szCs w:val="20"/>
                <w:lang w:val="en-US"/>
              </w:rPr>
              <w:t xml:space="preserve">Care of the dying patient </w:t>
            </w:r>
          </w:p>
        </w:tc>
      </w:tr>
      <w:tr w:rsidR="00CC50DE" w:rsidRPr="00676303" w14:paraId="1E5F3B00" w14:textId="77777777" w:rsidTr="003162D7">
        <w:tc>
          <w:tcPr>
            <w:tcW w:w="2014" w:type="dxa"/>
            <w:shd w:val="clear" w:color="auto" w:fill="DBE5F1" w:themeFill="accent1" w:themeFillTint="33"/>
          </w:tcPr>
          <w:p w14:paraId="709B607F"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Outcome</w:t>
            </w:r>
          </w:p>
          <w:p w14:paraId="13D1E186"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 (Link to EAPC Recommendation)</w:t>
            </w:r>
          </w:p>
        </w:tc>
        <w:tc>
          <w:tcPr>
            <w:tcW w:w="7654" w:type="dxa"/>
            <w:shd w:val="clear" w:color="auto" w:fill="auto"/>
          </w:tcPr>
          <w:p w14:paraId="75C58F0B" w14:textId="77777777" w:rsidR="00CC50DE" w:rsidRPr="00676303" w:rsidRDefault="00CC50DE" w:rsidP="00610755">
            <w:p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To </w:t>
            </w:r>
            <w:r w:rsidR="000617D3" w:rsidRPr="00676303">
              <w:rPr>
                <w:rFonts w:asciiTheme="minorHAnsi" w:hAnsiTheme="minorHAnsi" w:cstheme="minorHAnsi"/>
                <w:sz w:val="20"/>
                <w:szCs w:val="20"/>
                <w:lang w:val="en-US"/>
              </w:rPr>
              <w:t>recognize</w:t>
            </w:r>
            <w:r w:rsidRPr="00676303">
              <w:rPr>
                <w:rFonts w:asciiTheme="minorHAnsi" w:hAnsiTheme="minorHAnsi" w:cstheme="minorHAnsi"/>
                <w:sz w:val="20"/>
                <w:szCs w:val="20"/>
                <w:lang w:val="en-US"/>
              </w:rPr>
              <w:t xml:space="preserve">, </w:t>
            </w:r>
            <w:r w:rsidRPr="00676303">
              <w:rPr>
                <w:rFonts w:asciiTheme="minorHAnsi" w:hAnsiTheme="minorHAnsi"/>
                <w:sz w:val="20"/>
                <w:szCs w:val="20"/>
                <w:lang w:val="en-US"/>
              </w:rPr>
              <w:t xml:space="preserve">asses and manage the </w:t>
            </w:r>
            <w:r w:rsidRPr="00676303">
              <w:rPr>
                <w:rFonts w:asciiTheme="minorHAnsi" w:hAnsiTheme="minorHAnsi" w:cstheme="minorHAnsi"/>
                <w:sz w:val="20"/>
                <w:szCs w:val="20"/>
                <w:lang w:val="en-US"/>
              </w:rPr>
              <w:t xml:space="preserve">care of the dying patient </w:t>
            </w:r>
            <w:r w:rsidRPr="00676303">
              <w:rPr>
                <w:rFonts w:asciiTheme="minorHAnsi" w:hAnsiTheme="minorHAnsi"/>
                <w:sz w:val="20"/>
                <w:szCs w:val="20"/>
                <w:lang w:val="en-US"/>
              </w:rPr>
              <w:t>using best evidence guidelines and protocols of care.</w:t>
            </w:r>
          </w:p>
          <w:p w14:paraId="370D9022" w14:textId="77777777" w:rsidR="00CC50DE" w:rsidRPr="00676303" w:rsidRDefault="00CC50DE" w:rsidP="00610755">
            <w:p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EAPC Recommendation 2. Pain and Symptom Management; (c) Symptom management - Care of the dying patient</w:t>
            </w:r>
          </w:p>
        </w:tc>
      </w:tr>
      <w:tr w:rsidR="00CC50DE" w:rsidRPr="00676303" w14:paraId="7784BB17" w14:textId="77777777" w:rsidTr="003162D7">
        <w:tc>
          <w:tcPr>
            <w:tcW w:w="2014" w:type="dxa"/>
            <w:shd w:val="clear" w:color="auto" w:fill="DBE5F1" w:themeFill="accent1" w:themeFillTint="33"/>
          </w:tcPr>
          <w:p w14:paraId="46672FE3"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Summary </w:t>
            </w:r>
          </w:p>
        </w:tc>
        <w:tc>
          <w:tcPr>
            <w:tcW w:w="7654" w:type="dxa"/>
            <w:shd w:val="clear" w:color="auto" w:fill="auto"/>
          </w:tcPr>
          <w:p w14:paraId="7FA4FCD7" w14:textId="77777777" w:rsidR="00CC50DE" w:rsidRPr="00676303" w:rsidRDefault="00CC50DE" w:rsidP="00610755">
            <w:p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Looking after patients who are dying makes physicians feel uncomfortable. What they should be doing or saying is often unclear.  This section aims to outline some of the general principles about terminal care </w:t>
            </w:r>
          </w:p>
        </w:tc>
      </w:tr>
      <w:tr w:rsidR="00CC50DE" w:rsidRPr="00676303" w14:paraId="0133029E" w14:textId="77777777" w:rsidTr="003162D7">
        <w:tc>
          <w:tcPr>
            <w:tcW w:w="2014" w:type="dxa"/>
            <w:shd w:val="clear" w:color="auto" w:fill="DBE5F1" w:themeFill="accent1" w:themeFillTint="33"/>
          </w:tcPr>
          <w:p w14:paraId="3A0A4C47"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Objectives</w:t>
            </w:r>
          </w:p>
          <w:p w14:paraId="381D216D"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50982013"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S – Skills</w:t>
            </w:r>
          </w:p>
          <w:p w14:paraId="77134BB2"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3A4BE0DA" w14:textId="77777777" w:rsidR="00CC50DE" w:rsidRPr="00676303" w:rsidRDefault="00CC50DE" w:rsidP="00610755">
            <w:pPr>
              <w:spacing w:after="0" w:line="20" w:lineRule="atLeast"/>
              <w:rPr>
                <w:rFonts w:asciiTheme="minorHAnsi" w:hAnsiTheme="minorHAnsi" w:cstheme="minorHAnsi"/>
                <w:b/>
                <w:sz w:val="20"/>
                <w:szCs w:val="20"/>
                <w:lang w:val="en-US"/>
              </w:rPr>
            </w:pPr>
          </w:p>
        </w:tc>
        <w:tc>
          <w:tcPr>
            <w:tcW w:w="7654" w:type="dxa"/>
            <w:shd w:val="clear" w:color="auto" w:fill="auto"/>
          </w:tcPr>
          <w:p w14:paraId="0BFDE856" w14:textId="77777777" w:rsidR="00CC50DE" w:rsidRPr="00676303" w:rsidRDefault="00CC50DE" w:rsidP="00610755">
            <w:p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b/>
                <w:iCs/>
                <w:sz w:val="20"/>
                <w:szCs w:val="20"/>
                <w:lang w:val="en-US"/>
              </w:rPr>
              <w:t xml:space="preserve">C </w:t>
            </w:r>
            <w:r w:rsidRPr="00676303">
              <w:rPr>
                <w:rFonts w:asciiTheme="minorHAnsi" w:hAnsiTheme="minorHAnsi" w:cstheme="minorHAnsi"/>
                <w:iCs/>
                <w:sz w:val="20"/>
                <w:szCs w:val="20"/>
                <w:lang w:val="en-US"/>
              </w:rPr>
              <w:t xml:space="preserve">- </w:t>
            </w:r>
            <w:r w:rsidRPr="00676303">
              <w:rPr>
                <w:rFonts w:asciiTheme="minorHAnsi" w:hAnsiTheme="minorHAnsi" w:cstheme="minorHAnsi"/>
                <w:b/>
                <w:sz w:val="20"/>
                <w:szCs w:val="20"/>
                <w:lang w:val="en-US"/>
              </w:rPr>
              <w:t>Cognition</w:t>
            </w:r>
            <w:r w:rsidRPr="00676303">
              <w:rPr>
                <w:rFonts w:asciiTheme="minorHAnsi" w:hAnsiTheme="minorHAnsi" w:cstheme="minorHAnsi"/>
                <w:iCs/>
                <w:sz w:val="20"/>
                <w:szCs w:val="20"/>
                <w:lang w:val="en-US"/>
              </w:rPr>
              <w:t xml:space="preserve"> </w:t>
            </w:r>
          </w:p>
          <w:p w14:paraId="26C6D641" w14:textId="77777777" w:rsidR="00CC50DE" w:rsidRPr="00676303" w:rsidRDefault="00CC50DE" w:rsidP="00CC50DE">
            <w:pPr>
              <w:pStyle w:val="ListParagraph"/>
              <w:numPr>
                <w:ilvl w:val="0"/>
                <w:numId w:val="2"/>
              </w:num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List five common signs of Dying </w:t>
            </w:r>
          </w:p>
          <w:p w14:paraId="35163921" w14:textId="77777777" w:rsidR="00CC50DE" w:rsidRPr="00676303" w:rsidRDefault="00CC50DE" w:rsidP="00CC50DE">
            <w:pPr>
              <w:pStyle w:val="ListParagraph"/>
              <w:numPr>
                <w:ilvl w:val="0"/>
                <w:numId w:val="2"/>
              </w:num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Describe methods and tools of prognostication, as well as their limitations</w:t>
            </w:r>
          </w:p>
          <w:p w14:paraId="309A85B3" w14:textId="77777777" w:rsidR="00CC50DE" w:rsidRPr="00676303" w:rsidRDefault="00CC50DE" w:rsidP="00CC50DE">
            <w:pPr>
              <w:pStyle w:val="ListParagraph"/>
              <w:numPr>
                <w:ilvl w:val="0"/>
                <w:numId w:val="2"/>
              </w:num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Discuss potentially reversible causes of clinical deterioration</w:t>
            </w:r>
          </w:p>
          <w:p w14:paraId="3307EE48" w14:textId="77777777" w:rsidR="00CC50DE" w:rsidRPr="00676303" w:rsidRDefault="00CC50DE" w:rsidP="00CC50DE">
            <w:pPr>
              <w:pStyle w:val="ListParagraph"/>
              <w:numPr>
                <w:ilvl w:val="0"/>
                <w:numId w:val="2"/>
              </w:num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Describe the 10 principles of patient management in the last days and hours of life </w:t>
            </w:r>
          </w:p>
          <w:p w14:paraId="524D1A38" w14:textId="77777777" w:rsidR="00CC50DE" w:rsidRPr="00676303" w:rsidRDefault="00CC50DE" w:rsidP="00610755">
            <w:pPr>
              <w:spacing w:after="0" w:line="20" w:lineRule="atLeast"/>
              <w:rPr>
                <w:rFonts w:asciiTheme="minorHAnsi" w:hAnsiTheme="minorHAnsi" w:cstheme="minorHAnsi"/>
                <w:iCs/>
                <w:sz w:val="20"/>
                <w:szCs w:val="20"/>
                <w:lang w:val="en-US"/>
              </w:rPr>
            </w:pPr>
            <w:r w:rsidRPr="00676303">
              <w:rPr>
                <w:rFonts w:asciiTheme="minorHAnsi" w:hAnsiTheme="minorHAnsi" w:cstheme="minorHAnsi"/>
                <w:b/>
                <w:iCs/>
                <w:sz w:val="20"/>
                <w:szCs w:val="20"/>
                <w:lang w:val="en-US"/>
              </w:rPr>
              <w:t>S</w:t>
            </w:r>
            <w:r w:rsidRPr="00676303">
              <w:rPr>
                <w:rFonts w:asciiTheme="minorHAnsi" w:hAnsiTheme="minorHAnsi" w:cstheme="minorHAnsi"/>
                <w:iCs/>
                <w:sz w:val="20"/>
                <w:szCs w:val="20"/>
                <w:lang w:val="en-US"/>
              </w:rPr>
              <w:t xml:space="preserve"> – </w:t>
            </w:r>
            <w:r w:rsidRPr="00676303">
              <w:rPr>
                <w:rFonts w:asciiTheme="minorHAnsi" w:hAnsiTheme="minorHAnsi" w:cstheme="minorHAnsi"/>
                <w:b/>
                <w:sz w:val="20"/>
                <w:szCs w:val="20"/>
                <w:lang w:val="en-US"/>
              </w:rPr>
              <w:t>Skills</w:t>
            </w:r>
          </w:p>
          <w:p w14:paraId="72F3BCEB" w14:textId="77777777" w:rsidR="00CC50DE" w:rsidRPr="00676303" w:rsidRDefault="00CC50DE" w:rsidP="00CC50DE">
            <w:pPr>
              <w:pStyle w:val="ListParagraph"/>
              <w:numPr>
                <w:ilvl w:val="0"/>
                <w:numId w:val="3"/>
              </w:num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Engage anticipatory prescribing for main symptoms in dying patients </w:t>
            </w:r>
          </w:p>
          <w:p w14:paraId="0BA376C4" w14:textId="77777777" w:rsidR="00CC50DE" w:rsidRPr="00676303" w:rsidRDefault="00CC50DE" w:rsidP="00CC50DE">
            <w:pPr>
              <w:pStyle w:val="ListParagraph"/>
              <w:numPr>
                <w:ilvl w:val="0"/>
                <w:numId w:val="3"/>
              </w:numPr>
              <w:tabs>
                <w:tab w:val="left" w:pos="1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Explain the situation to patient and family </w:t>
            </w:r>
          </w:p>
          <w:p w14:paraId="190FE631" w14:textId="77777777" w:rsidR="00CC50DE" w:rsidRPr="00676303" w:rsidRDefault="00CC50DE" w:rsidP="00610755">
            <w:pPr>
              <w:autoSpaceDE w:val="0"/>
              <w:autoSpaceDN w:val="0"/>
              <w:adjustRightInd w:val="0"/>
              <w:spacing w:after="0" w:line="20" w:lineRule="atLeast"/>
              <w:ind w:left="5"/>
              <w:rPr>
                <w:rFonts w:asciiTheme="minorHAnsi" w:hAnsiTheme="minorHAnsi" w:cstheme="minorHAnsi"/>
                <w:sz w:val="20"/>
                <w:szCs w:val="20"/>
                <w:lang w:val="en-US"/>
              </w:rPr>
            </w:pPr>
            <w:r w:rsidRPr="00676303">
              <w:rPr>
                <w:rFonts w:asciiTheme="minorHAnsi" w:hAnsiTheme="minorHAnsi" w:cstheme="minorHAnsi"/>
                <w:b/>
                <w:sz w:val="20"/>
                <w:szCs w:val="20"/>
                <w:lang w:val="en-US"/>
              </w:rPr>
              <w:t xml:space="preserve">A </w:t>
            </w:r>
            <w:r w:rsidRPr="00676303">
              <w:rPr>
                <w:rFonts w:asciiTheme="minorHAnsi" w:hAnsiTheme="minorHAnsi" w:cstheme="minorHAnsi"/>
                <w:sz w:val="20"/>
                <w:szCs w:val="20"/>
                <w:lang w:val="en-US"/>
              </w:rPr>
              <w:t xml:space="preserve">– </w:t>
            </w:r>
            <w:r w:rsidRPr="00676303">
              <w:rPr>
                <w:rFonts w:asciiTheme="minorHAnsi" w:hAnsiTheme="minorHAnsi" w:cstheme="minorHAnsi"/>
                <w:b/>
                <w:sz w:val="20"/>
                <w:szCs w:val="20"/>
                <w:lang w:val="en-US"/>
              </w:rPr>
              <w:t>Attitudes</w:t>
            </w:r>
          </w:p>
          <w:p w14:paraId="11FEA6FE" w14:textId="77777777" w:rsidR="00CC50DE" w:rsidRPr="00676303" w:rsidRDefault="00CC50DE" w:rsidP="00CC50DE">
            <w:pPr>
              <w:pStyle w:val="ListParagraph"/>
              <w:numPr>
                <w:ilvl w:val="0"/>
                <w:numId w:val="4"/>
              </w:numPr>
              <w:autoSpaceDE w:val="0"/>
              <w:autoSpaceDN w:val="0"/>
              <w:adjustRightInd w:val="0"/>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Reflect on the challenge of changing goals for a patient from cure to comfort and a dignified death. </w:t>
            </w:r>
          </w:p>
          <w:p w14:paraId="715912CC" w14:textId="77777777" w:rsidR="00CC50DE" w:rsidRPr="00676303" w:rsidRDefault="00CC50DE" w:rsidP="00CC50DE">
            <w:pPr>
              <w:pStyle w:val="ListParagraph"/>
              <w:numPr>
                <w:ilvl w:val="0"/>
                <w:numId w:val="4"/>
              </w:numPr>
              <w:tabs>
                <w:tab w:val="left" w:pos="20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Accept that care for the dying is part of doctors role</w:t>
            </w:r>
          </w:p>
        </w:tc>
      </w:tr>
      <w:tr w:rsidR="00CC50DE" w:rsidRPr="00676303" w14:paraId="184B7451" w14:textId="77777777" w:rsidTr="003162D7">
        <w:tc>
          <w:tcPr>
            <w:tcW w:w="2014" w:type="dxa"/>
            <w:shd w:val="clear" w:color="auto" w:fill="DBE5F1" w:themeFill="accent1" w:themeFillTint="33"/>
          </w:tcPr>
          <w:p w14:paraId="1CF80718"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Methods</w:t>
            </w:r>
          </w:p>
        </w:tc>
        <w:tc>
          <w:tcPr>
            <w:tcW w:w="7654" w:type="dxa"/>
            <w:shd w:val="clear" w:color="auto" w:fill="auto"/>
          </w:tcPr>
          <w:p w14:paraId="7234F730" w14:textId="77777777" w:rsidR="00CC50DE" w:rsidRPr="00676303" w:rsidRDefault="00CC50DE" w:rsidP="00CC50DE">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Lecture</w:t>
            </w:r>
          </w:p>
          <w:p w14:paraId="74FBDF1D" w14:textId="77777777" w:rsidR="00CC50DE" w:rsidRPr="00676303" w:rsidRDefault="00CC50DE" w:rsidP="00CC50DE">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 xml:space="preserve">Exercise: formative assessment </w:t>
            </w:r>
          </w:p>
          <w:p w14:paraId="7DAB48B4" w14:textId="77777777" w:rsidR="00CC50DE" w:rsidRPr="00676303" w:rsidRDefault="00CC50DE" w:rsidP="00CC50DE">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Case study</w:t>
            </w:r>
          </w:p>
          <w:p w14:paraId="2F111442" w14:textId="77777777" w:rsidR="00CC50DE" w:rsidRPr="00676303" w:rsidRDefault="00CC50DE" w:rsidP="00CC50DE">
            <w:pPr>
              <w:pStyle w:val="Default"/>
              <w:numPr>
                <w:ilvl w:val="0"/>
                <w:numId w:val="1"/>
              </w:numPr>
              <w:spacing w:line="20" w:lineRule="atLeast"/>
              <w:rPr>
                <w:rFonts w:asciiTheme="minorHAnsi" w:hAnsiTheme="minorHAnsi" w:cstheme="minorHAnsi"/>
                <w:sz w:val="20"/>
                <w:szCs w:val="20"/>
              </w:rPr>
            </w:pPr>
            <w:r w:rsidRPr="00676303">
              <w:rPr>
                <w:rFonts w:asciiTheme="minorHAnsi" w:hAnsiTheme="minorHAnsi" w:cstheme="minorHAnsi"/>
                <w:sz w:val="20"/>
                <w:szCs w:val="20"/>
              </w:rPr>
              <w:t>Case-based learning</w:t>
            </w:r>
          </w:p>
          <w:p w14:paraId="3D42ECFC" w14:textId="77777777" w:rsidR="00CC50DE" w:rsidRPr="00676303" w:rsidRDefault="00CC50DE" w:rsidP="00CC50DE">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Reflection on experience</w:t>
            </w:r>
            <w:r w:rsidRPr="00676303">
              <w:rPr>
                <w:rFonts w:asciiTheme="minorHAnsi" w:hAnsiTheme="minorHAnsi" w:cstheme="minorHAnsi"/>
                <w:iCs/>
                <w:sz w:val="20"/>
                <w:szCs w:val="20"/>
                <w:lang w:val="en-US"/>
              </w:rPr>
              <w:t xml:space="preserve"> </w:t>
            </w:r>
          </w:p>
          <w:p w14:paraId="1740495F" w14:textId="46BA0634" w:rsidR="00CC50DE" w:rsidRPr="003162D7" w:rsidRDefault="00CC50DE" w:rsidP="003162D7">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 xml:space="preserve">Portfolio of learning  </w:t>
            </w:r>
          </w:p>
        </w:tc>
      </w:tr>
      <w:tr w:rsidR="00CC50DE" w:rsidRPr="00676303" w14:paraId="317A36ED" w14:textId="77777777" w:rsidTr="003162D7">
        <w:tc>
          <w:tcPr>
            <w:tcW w:w="2014" w:type="dxa"/>
            <w:shd w:val="clear" w:color="auto" w:fill="DBE5F1" w:themeFill="accent1" w:themeFillTint="33"/>
          </w:tcPr>
          <w:p w14:paraId="21BA00C0"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Timing </w:t>
            </w:r>
          </w:p>
        </w:tc>
        <w:tc>
          <w:tcPr>
            <w:tcW w:w="7654" w:type="dxa"/>
            <w:shd w:val="clear" w:color="auto" w:fill="auto"/>
          </w:tcPr>
          <w:p w14:paraId="77BB7780" w14:textId="77777777" w:rsidR="00CC50DE" w:rsidRPr="00676303" w:rsidRDefault="00CC50DE" w:rsidP="00610755">
            <w:p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2 hour online + 1 hours seminar </w:t>
            </w:r>
          </w:p>
          <w:p w14:paraId="6C790A00" w14:textId="698CDCEB" w:rsidR="000617D3" w:rsidRPr="00676303" w:rsidRDefault="00CC50DE" w:rsidP="00610755">
            <w:pPr>
              <w:spacing w:after="0" w:line="20" w:lineRule="atLeast"/>
              <w:rPr>
                <w:rFonts w:asciiTheme="minorHAnsi" w:hAnsiTheme="minorHAnsi" w:cstheme="minorHAnsi"/>
                <w:sz w:val="20"/>
                <w:szCs w:val="20"/>
                <w:lang w:val="en-US"/>
              </w:rPr>
            </w:pPr>
            <w:r w:rsidRPr="00676303">
              <w:rPr>
                <w:rFonts w:asciiTheme="minorHAnsi" w:hAnsiTheme="minorHAnsi" w:cstheme="minorHAnsi"/>
                <w:b/>
                <w:sz w:val="20"/>
                <w:szCs w:val="20"/>
                <w:lang w:val="en-US"/>
              </w:rPr>
              <w:t xml:space="preserve">E-learning / Distance Learning </w:t>
            </w:r>
            <w:r w:rsidRPr="00676303">
              <w:rPr>
                <w:rFonts w:asciiTheme="minorHAnsi" w:hAnsiTheme="minorHAnsi" w:cstheme="minorHAnsi"/>
                <w:sz w:val="20"/>
                <w:szCs w:val="20"/>
                <w:lang w:val="en-US"/>
              </w:rPr>
              <w:t>2 hour</w:t>
            </w:r>
          </w:p>
          <w:p w14:paraId="7A819503"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Seminar </w:t>
            </w:r>
            <w:r w:rsidRPr="00676303">
              <w:rPr>
                <w:rFonts w:asciiTheme="minorHAnsi" w:hAnsiTheme="minorHAnsi" w:cstheme="minorHAnsi"/>
                <w:sz w:val="20"/>
                <w:szCs w:val="20"/>
                <w:lang w:val="en-US"/>
              </w:rPr>
              <w:t>1 hours</w:t>
            </w:r>
          </w:p>
          <w:p w14:paraId="583E8D66" w14:textId="77777777" w:rsidR="000617D3" w:rsidRPr="00676303" w:rsidRDefault="000617D3" w:rsidP="000617D3">
            <w:pPr>
              <w:pStyle w:val="ListParagraph"/>
              <w:numPr>
                <w:ilvl w:val="0"/>
                <w:numId w:val="1"/>
              </w:numPr>
              <w:spacing w:after="0" w:line="20" w:lineRule="atLeast"/>
              <w:rPr>
                <w:rFonts w:asciiTheme="minorHAnsi" w:hAnsiTheme="minorHAnsi" w:cs="Symbol"/>
                <w:color w:val="000000"/>
                <w:sz w:val="20"/>
                <w:szCs w:val="20"/>
                <w:lang w:val="en-US"/>
              </w:rPr>
            </w:pPr>
            <w:r w:rsidRPr="00676303">
              <w:rPr>
                <w:rFonts w:asciiTheme="minorHAnsi" w:hAnsiTheme="minorHAnsi" w:cs="Symbol"/>
                <w:color w:val="000000"/>
                <w:sz w:val="20"/>
                <w:szCs w:val="20"/>
                <w:lang w:val="en-US"/>
              </w:rPr>
              <w:t>Case-based learning:</w:t>
            </w:r>
            <w:r w:rsidRPr="00676303">
              <w:rPr>
                <w:rFonts w:asciiTheme="minorHAnsi" w:hAnsiTheme="minorHAnsi" w:cstheme="minorHAnsi"/>
                <w:iCs/>
                <w:sz w:val="20"/>
                <w:szCs w:val="20"/>
                <w:lang w:val="en-US"/>
              </w:rPr>
              <w:t xml:space="preserve"> </w:t>
            </w:r>
            <w:r w:rsidR="00CC50DE" w:rsidRPr="00676303">
              <w:rPr>
                <w:rFonts w:asciiTheme="minorHAnsi" w:hAnsiTheme="minorHAnsi"/>
                <w:sz w:val="20"/>
                <w:szCs w:val="20"/>
              </w:rPr>
              <w:t xml:space="preserve">focus on recognize sign of Dying, list the problems, assess for the   </w:t>
            </w:r>
            <w:r w:rsidR="00CC50DE" w:rsidRPr="00676303">
              <w:rPr>
                <w:rFonts w:asciiTheme="minorHAnsi" w:hAnsiTheme="minorHAnsi" w:cstheme="minorHAnsi"/>
                <w:iCs/>
                <w:sz w:val="20"/>
                <w:szCs w:val="20"/>
              </w:rPr>
              <w:t>reversible causes of clinical deterioration</w:t>
            </w:r>
            <w:r>
              <w:rPr>
                <w:rFonts w:asciiTheme="minorHAnsi" w:hAnsiTheme="minorHAnsi" w:cstheme="minorHAnsi"/>
                <w:iCs/>
                <w:sz w:val="20"/>
                <w:szCs w:val="20"/>
              </w:rPr>
              <w:t xml:space="preserve">, </w:t>
            </w:r>
            <w:r w:rsidRPr="00676303">
              <w:rPr>
                <w:rFonts w:asciiTheme="minorHAnsi" w:hAnsiTheme="minorHAnsi" w:cs="Symbol"/>
                <w:color w:val="000000"/>
                <w:sz w:val="20"/>
                <w:szCs w:val="20"/>
                <w:lang w:val="en-US"/>
              </w:rPr>
              <w:t>anticipatory prescribing for main symptoms in dying patients</w:t>
            </w:r>
            <w:r w:rsidR="00183360">
              <w:rPr>
                <w:rFonts w:asciiTheme="minorHAnsi" w:hAnsiTheme="minorHAnsi" w:cs="Symbol"/>
                <w:color w:val="000000"/>
                <w:sz w:val="20"/>
                <w:szCs w:val="20"/>
                <w:lang w:val="en-US"/>
              </w:rPr>
              <w:t>. Working groups of 2 students.</w:t>
            </w:r>
          </w:p>
          <w:p w14:paraId="6FEB5073" w14:textId="47F8A183" w:rsidR="00CC50DE" w:rsidRPr="003162D7" w:rsidRDefault="00CC50DE" w:rsidP="000617D3">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iCs/>
                <w:sz w:val="20"/>
                <w:szCs w:val="20"/>
                <w:lang w:val="en-US"/>
              </w:rPr>
              <w:t xml:space="preserve">Role play: </w:t>
            </w:r>
            <w:r w:rsidRPr="00676303">
              <w:rPr>
                <w:rFonts w:asciiTheme="minorHAnsi" w:hAnsiTheme="minorHAnsi" w:cs="Symbol"/>
                <w:color w:val="000000"/>
                <w:sz w:val="20"/>
                <w:szCs w:val="20"/>
                <w:lang w:val="en-US"/>
              </w:rPr>
              <w:t>Explain the situation to the family</w:t>
            </w:r>
            <w:bookmarkStart w:id="0" w:name="_GoBack"/>
            <w:bookmarkEnd w:id="0"/>
          </w:p>
        </w:tc>
      </w:tr>
      <w:tr w:rsidR="00CC50DE" w:rsidRPr="00676303" w14:paraId="6FFCDE67" w14:textId="77777777" w:rsidTr="003162D7">
        <w:tc>
          <w:tcPr>
            <w:tcW w:w="2014" w:type="dxa"/>
            <w:shd w:val="clear" w:color="auto" w:fill="DBE5F1" w:themeFill="accent1" w:themeFillTint="33"/>
          </w:tcPr>
          <w:p w14:paraId="3899F259" w14:textId="77777777" w:rsidR="00CC50DE" w:rsidRPr="00676303" w:rsidRDefault="00CC50DE" w:rsidP="00610755">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Bibliography/</w:t>
            </w:r>
            <w:r w:rsidR="000617D3">
              <w:rPr>
                <w:rFonts w:asciiTheme="minorHAnsi" w:hAnsiTheme="minorHAnsi" w:cstheme="minorHAnsi"/>
                <w:b/>
                <w:sz w:val="20"/>
                <w:szCs w:val="20"/>
                <w:lang w:val="en-US"/>
              </w:rPr>
              <w:t xml:space="preserve"> </w:t>
            </w:r>
            <w:r w:rsidRPr="00676303">
              <w:rPr>
                <w:rFonts w:asciiTheme="minorHAnsi" w:hAnsiTheme="minorHAnsi" w:cstheme="minorHAnsi"/>
                <w:b/>
                <w:sz w:val="20"/>
                <w:szCs w:val="20"/>
                <w:lang w:val="en-US"/>
              </w:rPr>
              <w:t xml:space="preserve">Resources </w:t>
            </w:r>
          </w:p>
        </w:tc>
        <w:tc>
          <w:tcPr>
            <w:tcW w:w="7654" w:type="dxa"/>
            <w:shd w:val="clear" w:color="auto" w:fill="auto"/>
          </w:tcPr>
          <w:p w14:paraId="04F3086B" w14:textId="77777777" w:rsidR="00CC50DE" w:rsidRPr="00676303" w:rsidRDefault="003162D7" w:rsidP="00610755">
            <w:pPr>
              <w:spacing w:after="0" w:line="20" w:lineRule="atLeast"/>
              <w:rPr>
                <w:rFonts w:asciiTheme="minorHAnsi" w:hAnsiTheme="minorHAnsi" w:cstheme="minorHAnsi"/>
                <w:sz w:val="20"/>
                <w:szCs w:val="20"/>
                <w:lang w:val="en-US"/>
              </w:rPr>
            </w:pPr>
            <w:hyperlink r:id="rId6" w:history="1">
              <w:r w:rsidR="00CC50DE" w:rsidRPr="00676303">
                <w:rPr>
                  <w:rStyle w:val="Hyperlink"/>
                  <w:rFonts w:asciiTheme="minorHAnsi" w:hAnsiTheme="minorHAnsi" w:cstheme="minorHAnsi"/>
                  <w:sz w:val="20"/>
                  <w:szCs w:val="20"/>
                  <w:lang w:val="en-US"/>
                </w:rPr>
                <w:t>https://palliative.stanford.edu/transition-to-death/symptom-management-at-the-end-of-life/</w:t>
              </w:r>
            </w:hyperlink>
          </w:p>
          <w:p w14:paraId="7A969A4E" w14:textId="77777777" w:rsidR="00CC50DE" w:rsidRPr="00676303" w:rsidRDefault="003162D7" w:rsidP="00610755">
            <w:pPr>
              <w:spacing w:after="0" w:line="20" w:lineRule="atLeast"/>
              <w:rPr>
                <w:rFonts w:asciiTheme="minorHAnsi" w:hAnsiTheme="minorHAnsi" w:cstheme="minorHAnsi"/>
                <w:sz w:val="20"/>
                <w:szCs w:val="20"/>
                <w:lang w:val="en-US"/>
              </w:rPr>
            </w:pPr>
            <w:hyperlink r:id="rId7" w:history="1">
              <w:r w:rsidR="00CC50DE" w:rsidRPr="00676303">
                <w:rPr>
                  <w:rStyle w:val="Hyperlink"/>
                  <w:rFonts w:asciiTheme="minorHAnsi" w:hAnsiTheme="minorHAnsi" w:cstheme="minorHAnsi"/>
                  <w:sz w:val="20"/>
                  <w:szCs w:val="20"/>
                  <w:lang w:val="en-US"/>
                </w:rPr>
                <w:t>http://www.emrpcc.org.au/wp-content/uploads/2016/05/Respiratory-Secretions-Terminal-Phase-May-3-2016.pdf</w:t>
              </w:r>
            </w:hyperlink>
          </w:p>
          <w:p w14:paraId="7EAA8D54" w14:textId="77777777" w:rsidR="00CC50DE" w:rsidRPr="00676303" w:rsidRDefault="003162D7" w:rsidP="00610755">
            <w:pPr>
              <w:spacing w:after="0" w:line="20" w:lineRule="atLeast"/>
              <w:rPr>
                <w:rFonts w:asciiTheme="minorHAnsi" w:hAnsiTheme="minorHAnsi" w:cstheme="minorHAnsi"/>
                <w:color w:val="0000FF" w:themeColor="hyperlink"/>
                <w:sz w:val="20"/>
                <w:szCs w:val="20"/>
                <w:u w:val="single"/>
                <w:lang w:val="en-US"/>
              </w:rPr>
            </w:pPr>
            <w:hyperlink r:id="rId8" w:history="1">
              <w:r w:rsidR="00CC50DE" w:rsidRPr="00676303">
                <w:rPr>
                  <w:rStyle w:val="Hyperlink"/>
                  <w:rFonts w:asciiTheme="minorHAnsi" w:hAnsiTheme="minorHAnsi" w:cstheme="minorHAnsi"/>
                  <w:sz w:val="20"/>
                  <w:szCs w:val="20"/>
                  <w:lang w:val="en-US"/>
                </w:rPr>
                <w:t>https://www.aafp.org/afp/2009/0615/p1059.html</w:t>
              </w:r>
            </w:hyperlink>
          </w:p>
        </w:tc>
      </w:tr>
    </w:tbl>
    <w:p w14:paraId="52ECFE3E" w14:textId="77777777" w:rsidR="0055198D" w:rsidRDefault="003162D7"/>
    <w:sectPr w:rsidR="0055198D" w:rsidSect="00175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310"/>
    <w:multiLevelType w:val="hybridMultilevel"/>
    <w:tmpl w:val="3BE4E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CD96A71"/>
    <w:multiLevelType w:val="hybridMultilevel"/>
    <w:tmpl w:val="F112F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AF4496"/>
    <w:multiLevelType w:val="hybridMultilevel"/>
    <w:tmpl w:val="CA328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AB1AA0"/>
    <w:multiLevelType w:val="hybridMultilevel"/>
    <w:tmpl w:val="F8A47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C50DE"/>
    <w:rsid w:val="000617D3"/>
    <w:rsid w:val="00175DD7"/>
    <w:rsid w:val="00183360"/>
    <w:rsid w:val="003162D7"/>
    <w:rsid w:val="00555B6B"/>
    <w:rsid w:val="008245D1"/>
    <w:rsid w:val="00CC5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0DE"/>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50DE"/>
    <w:pPr>
      <w:autoSpaceDE w:val="0"/>
      <w:autoSpaceDN w:val="0"/>
      <w:adjustRightInd w:val="0"/>
      <w:spacing w:after="0" w:line="240" w:lineRule="auto"/>
    </w:pPr>
    <w:rPr>
      <w:rFonts w:ascii="Symbol" w:eastAsia="Calibri" w:hAnsi="Symbol" w:cs="Symbol"/>
      <w:color w:val="000000"/>
      <w:sz w:val="24"/>
      <w:szCs w:val="24"/>
    </w:rPr>
  </w:style>
  <w:style w:type="paragraph" w:styleId="ListParagraph">
    <w:name w:val="List Paragraph"/>
    <w:basedOn w:val="Normal"/>
    <w:uiPriority w:val="34"/>
    <w:qFormat/>
    <w:rsid w:val="00CC50DE"/>
    <w:pPr>
      <w:spacing w:after="200" w:line="276" w:lineRule="auto"/>
      <w:ind w:left="720"/>
      <w:contextualSpacing/>
    </w:pPr>
    <w:rPr>
      <w:lang w:val="ro-RO"/>
    </w:rPr>
  </w:style>
  <w:style w:type="character" w:styleId="Hyperlink">
    <w:name w:val="Hyperlink"/>
    <w:basedOn w:val="DefaultParagraphFont"/>
    <w:uiPriority w:val="99"/>
    <w:unhideWhenUsed/>
    <w:rsid w:val="00CC50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afp.org/afp/2009/0615/p1059.html" TargetMode="External"/><Relationship Id="rId3" Type="http://schemas.microsoft.com/office/2007/relationships/stylesWithEffects" Target="stylesWithEffects.xml"/><Relationship Id="rId7" Type="http://schemas.openxmlformats.org/officeDocument/2006/relationships/hyperlink" Target="http://www.emrpcc.org.au/wp-content/uploads/2016/05/Respiratory-Secretions-Terminal-Phase-May-3-20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lliative.stanford.edu/transition-to-death/symptom-management-at-the-end-of-lif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liliana.stanciulescu</dc:creator>
  <cp:lastModifiedBy>Karen Charnley</cp:lastModifiedBy>
  <cp:revision>5</cp:revision>
  <dcterms:created xsi:type="dcterms:W3CDTF">2019-06-26T11:20:00Z</dcterms:created>
  <dcterms:modified xsi:type="dcterms:W3CDTF">2020-02-19T14:15:00Z</dcterms:modified>
</cp:coreProperties>
</file>