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796"/>
      </w:tblGrid>
      <w:tr w:rsidR="0038200B" w:rsidRPr="00676303" w14:paraId="4948BBB0" w14:textId="77777777" w:rsidTr="005B2359">
        <w:tc>
          <w:tcPr>
            <w:tcW w:w="9209" w:type="dxa"/>
            <w:gridSpan w:val="2"/>
            <w:shd w:val="clear" w:color="auto" w:fill="D9E2F3" w:themeFill="accent1" w:themeFillTint="33"/>
          </w:tcPr>
          <w:p w14:paraId="7467B2F1" w14:textId="77777777" w:rsidR="0038200B" w:rsidRPr="00676303" w:rsidRDefault="0038200B" w:rsidP="005B2359">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 xml:space="preserve">Lesson Plan Model </w:t>
            </w:r>
          </w:p>
        </w:tc>
      </w:tr>
      <w:tr w:rsidR="0038200B" w:rsidRPr="00676303" w14:paraId="1A494D82" w14:textId="77777777" w:rsidTr="005B2359">
        <w:tc>
          <w:tcPr>
            <w:tcW w:w="1413" w:type="dxa"/>
            <w:shd w:val="clear" w:color="auto" w:fill="D9E2F3" w:themeFill="accent1" w:themeFillTint="33"/>
          </w:tcPr>
          <w:p w14:paraId="06553DC3"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796" w:type="dxa"/>
            <w:shd w:val="clear" w:color="auto" w:fill="auto"/>
          </w:tcPr>
          <w:p w14:paraId="0F2F07C2" w14:textId="77777777" w:rsidR="0038200B" w:rsidRPr="00676303" w:rsidRDefault="0038200B" w:rsidP="005B2359">
            <w:pPr>
              <w:spacing w:after="0" w:line="20" w:lineRule="atLeast"/>
              <w:rPr>
                <w:rFonts w:asciiTheme="minorHAnsi" w:hAnsiTheme="minorHAnsi" w:cs="Calibri"/>
                <w:sz w:val="20"/>
                <w:szCs w:val="20"/>
                <w:highlight w:val="red"/>
                <w:lang w:val="en-US"/>
              </w:rPr>
            </w:pPr>
            <w:r w:rsidRPr="00676303">
              <w:rPr>
                <w:rFonts w:asciiTheme="minorHAnsi" w:hAnsiTheme="minorHAnsi" w:cs="Calibri"/>
                <w:sz w:val="20"/>
                <w:szCs w:val="20"/>
                <w:lang w:val="en-US"/>
              </w:rPr>
              <w:t>Pain Assessment and Management</w:t>
            </w:r>
          </w:p>
        </w:tc>
      </w:tr>
      <w:tr w:rsidR="0038200B" w:rsidRPr="00676303" w14:paraId="3240070A" w14:textId="77777777" w:rsidTr="005B2359">
        <w:tc>
          <w:tcPr>
            <w:tcW w:w="1413" w:type="dxa"/>
            <w:shd w:val="clear" w:color="auto" w:fill="D9E2F3" w:themeFill="accent1" w:themeFillTint="33"/>
          </w:tcPr>
          <w:p w14:paraId="092F3844"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796" w:type="dxa"/>
            <w:shd w:val="clear" w:color="auto" w:fill="auto"/>
          </w:tcPr>
          <w:p w14:paraId="738E397B" w14:textId="77777777" w:rsidR="0038200B" w:rsidRPr="00676303" w:rsidRDefault="0038200B" w:rsidP="005B2359">
            <w:pPr>
              <w:spacing w:after="0" w:line="20" w:lineRule="atLeast"/>
              <w:textAlignment w:val="baseline"/>
              <w:rPr>
                <w:rFonts w:asciiTheme="minorHAnsi" w:hAnsiTheme="minorHAnsi" w:cs="Calibri"/>
                <w:b/>
                <w:sz w:val="20"/>
                <w:szCs w:val="20"/>
                <w:lang w:val="en-US"/>
              </w:rPr>
            </w:pPr>
            <w:r w:rsidRPr="00676303">
              <w:rPr>
                <w:rFonts w:asciiTheme="minorHAnsi" w:eastAsia="Times New Roman" w:hAnsiTheme="minorHAnsi" w:cstheme="minorHAnsi"/>
                <w:b/>
                <w:sz w:val="20"/>
                <w:szCs w:val="20"/>
                <w:lang w:val="en-US" w:eastAsia="en-GB"/>
              </w:rPr>
              <w:t>Barriers in Pain Management</w:t>
            </w:r>
          </w:p>
        </w:tc>
      </w:tr>
      <w:tr w:rsidR="0038200B" w:rsidRPr="00676303" w14:paraId="39B6AB5E" w14:textId="77777777" w:rsidTr="005B2359">
        <w:tc>
          <w:tcPr>
            <w:tcW w:w="1413" w:type="dxa"/>
            <w:shd w:val="clear" w:color="auto" w:fill="D9E2F3" w:themeFill="accent1" w:themeFillTint="33"/>
          </w:tcPr>
          <w:p w14:paraId="5D5ADF13"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Outcome(s)</w:t>
            </w:r>
          </w:p>
        </w:tc>
        <w:tc>
          <w:tcPr>
            <w:tcW w:w="7796" w:type="dxa"/>
            <w:shd w:val="clear" w:color="auto" w:fill="auto"/>
          </w:tcPr>
          <w:p w14:paraId="022CD0F2" w14:textId="77777777" w:rsidR="0038200B" w:rsidRPr="00676303" w:rsidRDefault="0038200B" w:rsidP="005B2359">
            <w:pPr>
              <w:spacing w:after="0" w:line="20" w:lineRule="atLeast"/>
              <w:jc w:val="both"/>
              <w:rPr>
                <w:rFonts w:asciiTheme="minorHAnsi" w:eastAsia="Times New Roman" w:hAnsiTheme="minorHAnsi" w:cstheme="minorHAnsi"/>
                <w:sz w:val="20"/>
                <w:szCs w:val="20"/>
                <w:lang w:val="en-US" w:eastAsia="en-GB"/>
              </w:rPr>
            </w:pPr>
            <w:r w:rsidRPr="00676303">
              <w:rPr>
                <w:rFonts w:asciiTheme="minorHAnsi" w:hAnsiTheme="minorHAnsi" w:cstheme="minorHAnsi"/>
                <w:sz w:val="20"/>
                <w:szCs w:val="20"/>
                <w:lang w:val="en-US"/>
              </w:rPr>
              <w:t xml:space="preserve">Demonstrate understanding of the country </w:t>
            </w:r>
            <w:r w:rsidRPr="00676303">
              <w:rPr>
                <w:rFonts w:asciiTheme="minorHAnsi" w:eastAsia="Times New Roman" w:hAnsiTheme="minorHAnsi" w:cstheme="minorHAnsi"/>
                <w:sz w:val="20"/>
                <w:szCs w:val="20"/>
                <w:lang w:val="en-US" w:eastAsia="en-GB"/>
              </w:rPr>
              <w:t>specific opioid legislation assimilation</w:t>
            </w:r>
          </w:p>
          <w:p w14:paraId="0C587CC1" w14:textId="77777777" w:rsidR="0038200B" w:rsidRPr="00676303" w:rsidRDefault="0038200B" w:rsidP="005B2359">
            <w:pPr>
              <w:spacing w:after="0" w:line="20" w:lineRule="atLeast"/>
              <w:jc w:val="both"/>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Explore and understanding myths regarding opioid use</w:t>
            </w:r>
          </w:p>
        </w:tc>
      </w:tr>
      <w:tr w:rsidR="0038200B" w:rsidRPr="00676303" w14:paraId="0ABDDC63" w14:textId="77777777" w:rsidTr="0038200B">
        <w:trPr>
          <w:trHeight w:val="1340"/>
        </w:trPr>
        <w:tc>
          <w:tcPr>
            <w:tcW w:w="1413" w:type="dxa"/>
            <w:shd w:val="clear" w:color="auto" w:fill="D9E2F3" w:themeFill="accent1" w:themeFillTint="33"/>
          </w:tcPr>
          <w:p w14:paraId="2FD908E9"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796" w:type="dxa"/>
            <w:shd w:val="clear" w:color="auto" w:fill="auto"/>
          </w:tcPr>
          <w:p w14:paraId="3437A00C" w14:textId="77777777" w:rsidR="0038200B" w:rsidRPr="00676303" w:rsidRDefault="0038200B" w:rsidP="005B2359">
            <w:pPr>
              <w:spacing w:after="0" w:line="20" w:lineRule="atLeast"/>
              <w:jc w:val="both"/>
              <w:rPr>
                <w:rFonts w:asciiTheme="minorHAnsi" w:hAnsiTheme="minorHAnsi" w:cs="Calibri"/>
                <w:sz w:val="20"/>
                <w:szCs w:val="20"/>
                <w:lang w:val="en-US"/>
              </w:rPr>
            </w:pPr>
            <w:r w:rsidRPr="00676303">
              <w:rPr>
                <w:rFonts w:asciiTheme="minorHAnsi" w:hAnsiTheme="minorHAnsi" w:cs="Calibri"/>
                <w:sz w:val="20"/>
                <w:szCs w:val="20"/>
                <w:lang w:val="en-US"/>
              </w:rPr>
              <w:t>In medical practice, the application of opioid therapy is affected by the existence of different myths regarding opioids among physicians and patients and also by legislative barriers.</w:t>
            </w:r>
          </w:p>
          <w:p w14:paraId="5503B830" w14:textId="77777777" w:rsidR="0038200B" w:rsidRPr="00676303" w:rsidRDefault="0038200B" w:rsidP="005B2359">
            <w:pPr>
              <w:spacing w:after="0" w:line="20" w:lineRule="atLeast"/>
              <w:jc w:val="both"/>
              <w:rPr>
                <w:rFonts w:asciiTheme="minorHAnsi" w:hAnsiTheme="minorHAnsi" w:cs="Calibri"/>
                <w:sz w:val="20"/>
                <w:szCs w:val="20"/>
                <w:lang w:val="en-US"/>
              </w:rPr>
            </w:pPr>
            <w:r w:rsidRPr="00676303">
              <w:rPr>
                <w:rFonts w:asciiTheme="minorHAnsi" w:hAnsiTheme="minorHAnsi" w:cs="Calibri"/>
                <w:sz w:val="20"/>
                <w:szCs w:val="20"/>
                <w:lang w:val="en-US"/>
              </w:rPr>
              <w:t>In this session we aim to increase the student's awareness level regarding the existence of these barriers and providing them the theoretical support and the practical skills to prescribe opioids without fear.</w:t>
            </w:r>
          </w:p>
        </w:tc>
      </w:tr>
      <w:tr w:rsidR="0038200B" w:rsidRPr="00676303" w14:paraId="5F69618D" w14:textId="77777777" w:rsidTr="005B2359">
        <w:tc>
          <w:tcPr>
            <w:tcW w:w="1413" w:type="dxa"/>
            <w:shd w:val="clear" w:color="auto" w:fill="D9E2F3" w:themeFill="accent1" w:themeFillTint="33"/>
          </w:tcPr>
          <w:p w14:paraId="30BC785D"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49625CAE"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5D8A5155"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1E5F06B8"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3E917658" w14:textId="77777777" w:rsidR="0038200B" w:rsidRPr="00676303" w:rsidRDefault="0038200B" w:rsidP="005B2359">
            <w:pPr>
              <w:spacing w:after="0" w:line="20" w:lineRule="atLeast"/>
              <w:rPr>
                <w:rFonts w:asciiTheme="minorHAnsi" w:hAnsiTheme="minorHAnsi" w:cs="Calibri"/>
                <w:b/>
                <w:sz w:val="20"/>
                <w:szCs w:val="20"/>
                <w:lang w:val="en-US"/>
              </w:rPr>
            </w:pPr>
          </w:p>
        </w:tc>
        <w:tc>
          <w:tcPr>
            <w:tcW w:w="7796" w:type="dxa"/>
            <w:shd w:val="clear" w:color="auto" w:fill="auto"/>
          </w:tcPr>
          <w:p w14:paraId="6D75DBF7" w14:textId="77777777" w:rsidR="0038200B" w:rsidRPr="00676303" w:rsidRDefault="0038200B"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Cognition</w:t>
            </w:r>
          </w:p>
          <w:p w14:paraId="5D84964E" w14:textId="77777777" w:rsidR="0038200B" w:rsidRPr="00676303" w:rsidRDefault="0038200B" w:rsidP="005B2359">
            <w:pPr>
              <w:pStyle w:val="ListParagraph"/>
              <w:numPr>
                <w:ilvl w:val="0"/>
                <w:numId w:val="2"/>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Evaluate the current barriers in pain management: national and international policy; and popular myths concerning opioids.</w:t>
            </w:r>
          </w:p>
          <w:p w14:paraId="428706AD" w14:textId="77777777" w:rsidR="0038200B" w:rsidRPr="00676303" w:rsidRDefault="0038200B" w:rsidP="005B2359">
            <w:pPr>
              <w:pStyle w:val="ListParagraph"/>
              <w:numPr>
                <w:ilvl w:val="0"/>
                <w:numId w:val="2"/>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State the legal requirements for prescribing morphine </w:t>
            </w:r>
          </w:p>
          <w:p w14:paraId="5117FA9B" w14:textId="77777777" w:rsidR="0038200B" w:rsidRPr="00676303" w:rsidRDefault="0038200B" w:rsidP="005B2359">
            <w:p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Skills</w:t>
            </w:r>
          </w:p>
          <w:p w14:paraId="1FF5EB65" w14:textId="77777777" w:rsidR="0038200B" w:rsidRPr="00676303" w:rsidRDefault="0038200B" w:rsidP="005B2359">
            <w:pPr>
              <w:pStyle w:val="ListParagraph"/>
              <w:numPr>
                <w:ilvl w:val="0"/>
                <w:numId w:val="3"/>
              </w:numPr>
              <w:spacing w:after="0" w:line="20" w:lineRule="atLeast"/>
              <w:ind w:left="1027"/>
              <w:jc w:val="both"/>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Demonstrate how to address patients/families/professionals false beliefs concerning pain management;</w:t>
            </w:r>
          </w:p>
          <w:p w14:paraId="3854486D" w14:textId="77777777" w:rsidR="0038200B" w:rsidRPr="00676303" w:rsidRDefault="0038200B" w:rsidP="005B2359">
            <w:pPr>
              <w:tabs>
                <w:tab w:val="left" w:pos="176"/>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Attitudes</w:t>
            </w:r>
          </w:p>
          <w:p w14:paraId="146B430F" w14:textId="77777777" w:rsidR="0038200B" w:rsidRPr="00676303" w:rsidRDefault="0038200B" w:rsidP="005B2359">
            <w:pPr>
              <w:pStyle w:val="ListParagraph"/>
              <w:numPr>
                <w:ilvl w:val="0"/>
                <w:numId w:val="1"/>
              </w:numPr>
              <w:tabs>
                <w:tab w:val="left" w:pos="176"/>
              </w:tabs>
              <w:spacing w:after="0" w:line="20" w:lineRule="atLeast"/>
              <w:ind w:left="1026"/>
              <w:jc w:val="both"/>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Reflect to the negative impact of existing myths related to opioid use on patient’s analgesic treatment compliance. </w:t>
            </w:r>
          </w:p>
          <w:p w14:paraId="71F85889" w14:textId="77777777" w:rsidR="0038200B" w:rsidRPr="00676303" w:rsidRDefault="0038200B" w:rsidP="005B2359">
            <w:pPr>
              <w:pStyle w:val="ListParagraph"/>
              <w:numPr>
                <w:ilvl w:val="0"/>
                <w:numId w:val="1"/>
              </w:numPr>
              <w:tabs>
                <w:tab w:val="left" w:pos="317"/>
              </w:tabs>
              <w:spacing w:after="0" w:line="20" w:lineRule="atLeast"/>
              <w:ind w:left="1026"/>
              <w:jc w:val="both"/>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Considering pain management a priority and advocating on patients behalf for good pain relief</w:t>
            </w:r>
          </w:p>
        </w:tc>
      </w:tr>
      <w:tr w:rsidR="0038200B" w:rsidRPr="00676303" w14:paraId="4BC9B860" w14:textId="77777777" w:rsidTr="005B2359">
        <w:tc>
          <w:tcPr>
            <w:tcW w:w="1413" w:type="dxa"/>
            <w:shd w:val="clear" w:color="auto" w:fill="D9E2F3" w:themeFill="accent1" w:themeFillTint="33"/>
          </w:tcPr>
          <w:p w14:paraId="68D039B5"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796" w:type="dxa"/>
            <w:shd w:val="clear" w:color="auto" w:fill="auto"/>
          </w:tcPr>
          <w:p w14:paraId="1742CCA4" w14:textId="1570D340" w:rsidR="0038200B" w:rsidRPr="00676303" w:rsidRDefault="0038200B" w:rsidP="005B2359">
            <w:pPr>
              <w:tabs>
                <w:tab w:val="left" w:pos="97"/>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On-line activities </w:t>
            </w:r>
            <w:r w:rsidRPr="00676303">
              <w:rPr>
                <w:rFonts w:asciiTheme="minorHAnsi" w:eastAsia="Times New Roman" w:hAnsiTheme="minorHAnsi" w:cstheme="minorHAnsi"/>
                <w:b/>
                <w:color w:val="000000"/>
                <w:sz w:val="20"/>
                <w:szCs w:val="20"/>
                <w:lang w:val="en-US" w:eastAsia="en-GB"/>
              </w:rPr>
              <w:t xml:space="preserve">1 hours </w:t>
            </w:r>
          </w:p>
          <w:p w14:paraId="78B17B07" w14:textId="77777777" w:rsidR="0038200B" w:rsidRPr="00676303" w:rsidRDefault="0038200B" w:rsidP="005B2359">
            <w:pPr>
              <w:tabs>
                <w:tab w:val="left" w:pos="97"/>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 Seminar 1 hour </w:t>
            </w:r>
          </w:p>
        </w:tc>
      </w:tr>
      <w:tr w:rsidR="0038200B" w:rsidRPr="00676303" w14:paraId="0284F47E" w14:textId="77777777" w:rsidTr="005B2359">
        <w:tc>
          <w:tcPr>
            <w:tcW w:w="1413" w:type="dxa"/>
            <w:shd w:val="clear" w:color="auto" w:fill="D9E2F3" w:themeFill="accent1" w:themeFillTint="33"/>
          </w:tcPr>
          <w:p w14:paraId="14B30608"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796" w:type="dxa"/>
            <w:shd w:val="clear" w:color="auto" w:fill="auto"/>
          </w:tcPr>
          <w:p w14:paraId="32FB1B80" w14:textId="418B3B5A" w:rsidR="0038200B" w:rsidRPr="00676303" w:rsidRDefault="0038200B" w:rsidP="005B2359">
            <w:pPr>
              <w:tabs>
                <w:tab w:val="left" w:pos="97"/>
              </w:tabs>
              <w:spacing w:after="0" w:line="20" w:lineRule="atLeast"/>
              <w:rPr>
                <w:rFonts w:asciiTheme="minorHAnsi" w:eastAsia="Times New Roman" w:hAnsiTheme="minorHAnsi" w:cstheme="minorHAnsi"/>
                <w:b/>
                <w:color w:val="000000"/>
                <w:sz w:val="20"/>
                <w:szCs w:val="20"/>
                <w:lang w:val="en-US" w:eastAsia="en-GB"/>
              </w:rPr>
            </w:pPr>
            <w:r w:rsidRPr="00676303">
              <w:rPr>
                <w:rFonts w:asciiTheme="minorHAnsi" w:eastAsia="Times New Roman" w:hAnsiTheme="minorHAnsi" w:cstheme="minorHAnsi"/>
                <w:b/>
                <w:color w:val="000000"/>
                <w:sz w:val="20"/>
                <w:szCs w:val="20"/>
                <w:lang w:val="en-US" w:eastAsia="en-GB"/>
              </w:rPr>
              <w:t>On-line activities:</w:t>
            </w:r>
            <w:r w:rsidRPr="00676303">
              <w:rPr>
                <w:rFonts w:asciiTheme="minorHAnsi" w:eastAsia="Times New Roman" w:hAnsiTheme="minorHAnsi" w:cstheme="minorHAnsi"/>
                <w:color w:val="000000"/>
                <w:sz w:val="20"/>
                <w:szCs w:val="20"/>
                <w:lang w:val="en-US" w:eastAsia="en-GB"/>
              </w:rPr>
              <w:t xml:space="preserve"> </w:t>
            </w:r>
            <w:r w:rsidRPr="00676303">
              <w:rPr>
                <w:rFonts w:asciiTheme="minorHAnsi" w:eastAsia="Times New Roman" w:hAnsiTheme="minorHAnsi" w:cstheme="minorHAnsi"/>
                <w:b/>
                <w:color w:val="000000"/>
                <w:sz w:val="20"/>
                <w:szCs w:val="20"/>
                <w:lang w:val="en-US" w:eastAsia="en-GB"/>
              </w:rPr>
              <w:t xml:space="preserve">1 </w:t>
            </w:r>
            <w:proofErr w:type="spellStart"/>
            <w:r w:rsidRPr="00676303">
              <w:rPr>
                <w:rFonts w:asciiTheme="minorHAnsi" w:eastAsia="Times New Roman" w:hAnsiTheme="minorHAnsi" w:cstheme="minorHAnsi"/>
                <w:b/>
                <w:color w:val="000000"/>
                <w:sz w:val="20"/>
                <w:szCs w:val="20"/>
                <w:lang w:val="en-US" w:eastAsia="en-GB"/>
              </w:rPr>
              <w:t>hr</w:t>
            </w:r>
            <w:proofErr w:type="spellEnd"/>
            <w:r w:rsidRPr="00676303">
              <w:rPr>
                <w:rFonts w:asciiTheme="minorHAnsi" w:eastAsia="Times New Roman" w:hAnsiTheme="minorHAnsi" w:cstheme="minorHAnsi"/>
                <w:b/>
                <w:color w:val="000000"/>
                <w:sz w:val="20"/>
                <w:szCs w:val="20"/>
                <w:lang w:val="en-US" w:eastAsia="en-GB"/>
              </w:rPr>
              <w:t xml:space="preserve"> before seminar students will do the online </w:t>
            </w:r>
          </w:p>
          <w:p w14:paraId="665AD8FC" w14:textId="2C9459FB" w:rsidR="0038200B" w:rsidRPr="00676303" w:rsidRDefault="0038200B" w:rsidP="005B2359">
            <w:pPr>
              <w:tabs>
                <w:tab w:val="left" w:pos="97"/>
              </w:tabs>
              <w:spacing w:after="0" w:line="20" w:lineRule="atLeast"/>
              <w:rPr>
                <w:rFonts w:asciiTheme="minorHAnsi" w:eastAsia="Times New Roman" w:hAnsiTheme="minorHAnsi" w:cstheme="minorHAnsi"/>
                <w:b/>
                <w:color w:val="000000"/>
                <w:sz w:val="20"/>
                <w:szCs w:val="20"/>
                <w:lang w:val="en-US" w:eastAsia="en-GB"/>
              </w:rPr>
            </w:pPr>
            <w:r w:rsidRPr="00676303">
              <w:rPr>
                <w:rFonts w:asciiTheme="minorHAnsi" w:eastAsia="Times New Roman" w:hAnsiTheme="minorHAnsi" w:cstheme="minorHAnsi"/>
                <w:b/>
                <w:color w:val="000000"/>
                <w:sz w:val="20"/>
                <w:szCs w:val="20"/>
                <w:lang w:val="en-US" w:eastAsia="en-GB"/>
              </w:rPr>
              <w:t xml:space="preserve">Seminar review of online material  </w:t>
            </w:r>
          </w:p>
          <w:p w14:paraId="4643336F" w14:textId="77777777" w:rsidR="0038200B" w:rsidRPr="00676303" w:rsidRDefault="0038200B" w:rsidP="005B2359">
            <w:pPr>
              <w:tabs>
                <w:tab w:val="left" w:pos="97"/>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   Popular myths- lecture, aquarium, debates </w:t>
            </w:r>
          </w:p>
          <w:p w14:paraId="1B18F4C8" w14:textId="77777777" w:rsidR="0038200B" w:rsidRPr="00676303" w:rsidRDefault="0038200B" w:rsidP="005B2359">
            <w:pPr>
              <w:tabs>
                <w:tab w:val="left" w:pos="97"/>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   National policy-slide 8-9: 5 minutes</w:t>
            </w:r>
          </w:p>
          <w:p w14:paraId="27734CC3" w14:textId="77777777" w:rsidR="0038200B" w:rsidRPr="00676303" w:rsidRDefault="0038200B" w:rsidP="005B2359">
            <w:pPr>
              <w:tabs>
                <w:tab w:val="left" w:pos="97"/>
              </w:tabs>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   International policy- slide 10-14: 5 minutes</w:t>
            </w:r>
          </w:p>
          <w:p w14:paraId="0D549FD9" w14:textId="77777777" w:rsidR="0038200B" w:rsidRPr="00676303" w:rsidRDefault="0038200B" w:rsidP="005B2359">
            <w:pPr>
              <w:tabs>
                <w:tab w:val="left" w:pos="97"/>
              </w:tabs>
              <w:spacing w:after="0" w:line="20" w:lineRule="atLeast"/>
              <w:rPr>
                <w:rFonts w:asciiTheme="minorHAnsi" w:hAnsiTheme="minorHAnsi" w:cs="Calibri"/>
                <w:sz w:val="20"/>
                <w:szCs w:val="20"/>
                <w:lang w:val="en-US"/>
              </w:rPr>
            </w:pPr>
            <w:r w:rsidRPr="00676303">
              <w:rPr>
                <w:rFonts w:asciiTheme="minorHAnsi" w:eastAsia="Times New Roman" w:hAnsiTheme="minorHAnsi" w:cstheme="minorHAnsi"/>
                <w:color w:val="000000"/>
                <w:sz w:val="20"/>
                <w:szCs w:val="20"/>
                <w:lang w:val="en-US" w:eastAsia="en-GB"/>
              </w:rPr>
              <w:t xml:space="preserve">   Discuss myths and proposed modalities to overcome them </w:t>
            </w:r>
          </w:p>
        </w:tc>
      </w:tr>
      <w:tr w:rsidR="0038200B" w:rsidRPr="00676303" w14:paraId="541755FC" w14:textId="77777777" w:rsidTr="005B2359">
        <w:tc>
          <w:tcPr>
            <w:tcW w:w="1413" w:type="dxa"/>
            <w:shd w:val="clear" w:color="auto" w:fill="D9E2F3" w:themeFill="accent1" w:themeFillTint="33"/>
          </w:tcPr>
          <w:p w14:paraId="41A44324" w14:textId="77777777" w:rsidR="0038200B" w:rsidRPr="00676303" w:rsidRDefault="0038200B"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Bibliography/Resources </w:t>
            </w:r>
          </w:p>
        </w:tc>
        <w:tc>
          <w:tcPr>
            <w:tcW w:w="7796" w:type="dxa"/>
            <w:shd w:val="clear" w:color="auto" w:fill="auto"/>
          </w:tcPr>
          <w:p w14:paraId="55B08CDA" w14:textId="77777777" w:rsidR="0038200B" w:rsidRPr="00676303" w:rsidRDefault="0038200B" w:rsidP="001171A1">
            <w:pPr>
              <w:spacing w:after="120" w:line="20" w:lineRule="atLeast"/>
              <w:rPr>
                <w:rFonts w:asciiTheme="minorHAnsi" w:hAnsiTheme="minorHAnsi" w:cs="Calibri"/>
                <w:sz w:val="20"/>
                <w:szCs w:val="20"/>
                <w:lang w:val="en-US"/>
              </w:rPr>
            </w:pPr>
            <w:bookmarkStart w:id="0" w:name="_GoBack"/>
            <w:r w:rsidRPr="00676303">
              <w:rPr>
                <w:rFonts w:asciiTheme="minorHAnsi" w:hAnsiTheme="minorHAnsi" w:cs="Calibri"/>
                <w:sz w:val="20"/>
                <w:szCs w:val="20"/>
                <w:lang w:val="en-US"/>
              </w:rPr>
              <w:t>WHO Expert Committee on Cancer Pain Relief and Active Supportive Care, 1990</w:t>
            </w:r>
          </w:p>
          <w:p w14:paraId="711870B1" w14:textId="1E4A89C7" w:rsidR="0038200B" w:rsidRPr="00676303" w:rsidRDefault="0038200B" w:rsidP="001171A1">
            <w:pPr>
              <w:spacing w:after="12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Hallenbeck</w:t>
            </w:r>
            <w:proofErr w:type="spellEnd"/>
            <w:r w:rsidRPr="00676303">
              <w:rPr>
                <w:rFonts w:asciiTheme="minorHAnsi" w:hAnsiTheme="minorHAnsi" w:cs="Calibri"/>
                <w:sz w:val="20"/>
                <w:szCs w:val="20"/>
                <w:lang w:val="en-US"/>
              </w:rPr>
              <w:t xml:space="preserve"> J., Pathophysiology of Dyspnea Explained: Why Might Opioids Relieve Dyspnea and not Hasten Death? Journal of Palliative Medicine 2012;15(8):848-53</w:t>
            </w:r>
          </w:p>
          <w:p w14:paraId="51A82CE9" w14:textId="77777777" w:rsidR="0038200B" w:rsidRPr="00676303" w:rsidRDefault="0038200B" w:rsidP="001171A1">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Porter </w:t>
            </w:r>
            <w:proofErr w:type="spellStart"/>
            <w:r w:rsidRPr="00676303">
              <w:rPr>
                <w:rFonts w:asciiTheme="minorHAnsi" w:hAnsiTheme="minorHAnsi" w:cs="Calibri"/>
                <w:sz w:val="20"/>
                <w:szCs w:val="20"/>
                <w:lang w:val="en-US"/>
              </w:rPr>
              <w:t>J.and</w:t>
            </w:r>
            <w:proofErr w:type="spellEnd"/>
            <w:r w:rsidRPr="00676303">
              <w:rPr>
                <w:rFonts w:asciiTheme="minorHAnsi" w:hAnsiTheme="minorHAnsi" w:cs="Calibri"/>
                <w:sz w:val="20"/>
                <w:szCs w:val="20"/>
                <w:lang w:val="en-US"/>
              </w:rPr>
              <w:t xml:space="preserve"> </w:t>
            </w:r>
            <w:proofErr w:type="spellStart"/>
            <w:r w:rsidRPr="00676303">
              <w:rPr>
                <w:rFonts w:asciiTheme="minorHAnsi" w:hAnsiTheme="minorHAnsi" w:cs="Calibri"/>
                <w:sz w:val="20"/>
                <w:szCs w:val="20"/>
                <w:lang w:val="en-US"/>
              </w:rPr>
              <w:t>Jick</w:t>
            </w:r>
            <w:proofErr w:type="spellEnd"/>
            <w:r w:rsidRPr="00676303">
              <w:rPr>
                <w:rFonts w:asciiTheme="minorHAnsi" w:hAnsiTheme="minorHAnsi" w:cs="Calibri"/>
                <w:sz w:val="20"/>
                <w:szCs w:val="20"/>
                <w:lang w:val="en-US"/>
              </w:rPr>
              <w:t xml:space="preserve"> H., Addiction rare in patients treated with narcotics. NEJM, 1980, 302(2):123.</w:t>
            </w:r>
          </w:p>
          <w:p w14:paraId="3BCFD52A" w14:textId="77777777" w:rsidR="0038200B" w:rsidRPr="00676303" w:rsidRDefault="0038200B" w:rsidP="001171A1">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M.R. Rajagopal and D. </w:t>
            </w:r>
            <w:proofErr w:type="spellStart"/>
            <w:r w:rsidRPr="00676303">
              <w:rPr>
                <w:rFonts w:asciiTheme="minorHAnsi" w:hAnsiTheme="minorHAnsi" w:cs="Calibri"/>
                <w:sz w:val="20"/>
                <w:szCs w:val="20"/>
                <w:lang w:val="en-US"/>
              </w:rPr>
              <w:t>Joranson</w:t>
            </w:r>
            <w:proofErr w:type="spellEnd"/>
            <w:r w:rsidRPr="00676303">
              <w:rPr>
                <w:rFonts w:asciiTheme="minorHAnsi" w:hAnsiTheme="minorHAnsi" w:cs="Calibri"/>
                <w:sz w:val="20"/>
                <w:szCs w:val="20"/>
                <w:lang w:val="en-US"/>
              </w:rPr>
              <w:t xml:space="preserve">. Medical use, misuse and diversion of opioids in India. Lancet Vol.358 July 14, 2001. </w:t>
            </w:r>
          </w:p>
          <w:p w14:paraId="2F318307" w14:textId="77777777" w:rsidR="0038200B" w:rsidRPr="00676303" w:rsidRDefault="001171A1" w:rsidP="001171A1">
            <w:pPr>
              <w:spacing w:after="120" w:line="20" w:lineRule="atLeast"/>
              <w:rPr>
                <w:rFonts w:asciiTheme="minorHAnsi" w:hAnsiTheme="minorHAnsi" w:cstheme="minorHAnsi"/>
                <w:sz w:val="20"/>
                <w:szCs w:val="20"/>
                <w:lang w:val="en-US"/>
              </w:rPr>
            </w:pPr>
            <w:hyperlink r:id="rId6" w:history="1">
              <w:r w:rsidR="0038200B" w:rsidRPr="00676303">
                <w:rPr>
                  <w:rStyle w:val="Hyperlink"/>
                  <w:rFonts w:asciiTheme="minorHAnsi" w:hAnsiTheme="minorHAnsi" w:cs="Calibri"/>
                  <w:sz w:val="20"/>
                  <w:szCs w:val="20"/>
                  <w:lang w:val="en-US"/>
                </w:rPr>
                <w:t>http://www.medic8.com/drug-addiction/what-is-pseudo.html</w:t>
              </w:r>
            </w:hyperlink>
            <w:r w:rsidR="0038200B" w:rsidRPr="00676303">
              <w:rPr>
                <w:rFonts w:asciiTheme="minorHAnsi" w:hAnsiTheme="minorHAnsi" w:cs="Calibri"/>
                <w:sz w:val="20"/>
                <w:szCs w:val="20"/>
                <w:lang w:val="en-US"/>
              </w:rPr>
              <w:t xml:space="preserve"> </w:t>
            </w:r>
            <w:r w:rsidR="0038200B" w:rsidRPr="00676303">
              <w:rPr>
                <w:rFonts w:asciiTheme="minorHAnsi" w:hAnsiTheme="minorHAnsi" w:cstheme="minorHAnsi"/>
                <w:sz w:val="20"/>
                <w:szCs w:val="20"/>
                <w:lang w:val="en-US"/>
              </w:rPr>
              <w:t xml:space="preserve">  </w:t>
            </w:r>
          </w:p>
          <w:p w14:paraId="197C640F" w14:textId="77777777" w:rsidR="0038200B" w:rsidRPr="00676303" w:rsidRDefault="0038200B" w:rsidP="001171A1">
            <w:pPr>
              <w:spacing w:after="12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Recommendation Rec (2003) 24 of the Committee of Ministers to member states on the </w:t>
            </w:r>
            <w:proofErr w:type="spellStart"/>
            <w:r w:rsidRPr="00676303">
              <w:rPr>
                <w:rFonts w:asciiTheme="minorHAnsi" w:hAnsiTheme="minorHAnsi" w:cstheme="minorHAnsi"/>
                <w:sz w:val="20"/>
                <w:szCs w:val="20"/>
                <w:lang w:val="en-US"/>
              </w:rPr>
              <w:t>organisation</w:t>
            </w:r>
            <w:proofErr w:type="spellEnd"/>
            <w:r w:rsidRPr="00676303">
              <w:rPr>
                <w:rFonts w:asciiTheme="minorHAnsi" w:hAnsiTheme="minorHAnsi" w:cstheme="minorHAnsi"/>
                <w:sz w:val="20"/>
                <w:szCs w:val="20"/>
                <w:lang w:val="en-US"/>
              </w:rPr>
              <w:t xml:space="preserve"> of palliative care. </w:t>
            </w:r>
            <w:r w:rsidRPr="00676303">
              <w:rPr>
                <w:rFonts w:asciiTheme="minorHAnsi" w:hAnsiTheme="minorHAnsi" w:cstheme="minorHAnsi"/>
                <w:sz w:val="20"/>
                <w:szCs w:val="20"/>
                <w:lang w:val="en-US"/>
              </w:rPr>
              <w:cr/>
            </w:r>
            <w:hyperlink r:id="rId7" w:history="1">
              <w:r w:rsidRPr="00676303">
                <w:rPr>
                  <w:rStyle w:val="Hyperlink"/>
                  <w:rFonts w:asciiTheme="minorHAnsi" w:hAnsiTheme="minorHAnsi" w:cstheme="minorHAnsi"/>
                  <w:sz w:val="20"/>
                  <w:szCs w:val="20"/>
                  <w:lang w:val="en-US"/>
                </w:rPr>
                <w:t>https://www.coe.int/t/dg3/health/Source/Rec(2003)24_en.pdf</w:t>
              </w:r>
            </w:hyperlink>
            <w:r w:rsidRPr="00676303">
              <w:rPr>
                <w:rFonts w:asciiTheme="minorHAnsi" w:hAnsiTheme="minorHAnsi" w:cstheme="minorHAnsi"/>
                <w:sz w:val="20"/>
                <w:szCs w:val="20"/>
                <w:lang w:val="en-US"/>
              </w:rPr>
              <w:t xml:space="preserve"> </w:t>
            </w:r>
            <w:hyperlink r:id="rId8" w:history="1">
              <w:r w:rsidRPr="00676303">
                <w:rPr>
                  <w:rStyle w:val="Hyperlink"/>
                  <w:rFonts w:asciiTheme="minorHAnsi" w:hAnsiTheme="minorHAnsi" w:cstheme="minorHAnsi"/>
                  <w:sz w:val="20"/>
                  <w:szCs w:val="20"/>
                  <w:lang w:val="en-US"/>
                </w:rPr>
                <w:t>http://www.eapcnet.eu/LinkClick.aspx?fileticket=7hi45GYUhq0%3d&amp;tabid=1709</w:t>
              </w:r>
            </w:hyperlink>
            <w:bookmarkEnd w:id="0"/>
          </w:p>
        </w:tc>
      </w:tr>
    </w:tbl>
    <w:p w14:paraId="3C3940E0"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85956"/>
    <w:multiLevelType w:val="hybridMultilevel"/>
    <w:tmpl w:val="F7CE4B8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9A36278"/>
    <w:multiLevelType w:val="hybridMultilevel"/>
    <w:tmpl w:val="D13A31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D153F42"/>
    <w:multiLevelType w:val="hybridMultilevel"/>
    <w:tmpl w:val="264236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00B"/>
    <w:rsid w:val="001171A1"/>
    <w:rsid w:val="0038200B"/>
    <w:rsid w:val="006F1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A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00B"/>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0B"/>
    <w:pPr>
      <w:spacing w:after="200" w:line="276" w:lineRule="auto"/>
      <w:ind w:left="720"/>
      <w:contextualSpacing/>
    </w:pPr>
    <w:rPr>
      <w:lang w:val="ro-RO"/>
    </w:rPr>
  </w:style>
  <w:style w:type="character" w:styleId="Hyperlink">
    <w:name w:val="Hyperlink"/>
    <w:basedOn w:val="DefaultParagraphFont"/>
    <w:uiPriority w:val="99"/>
    <w:unhideWhenUsed/>
    <w:rsid w:val="0038200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00B"/>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00B"/>
    <w:pPr>
      <w:spacing w:after="200" w:line="276" w:lineRule="auto"/>
      <w:ind w:left="720"/>
      <w:contextualSpacing/>
    </w:pPr>
    <w:rPr>
      <w:lang w:val="ro-RO"/>
    </w:rPr>
  </w:style>
  <w:style w:type="character" w:styleId="Hyperlink">
    <w:name w:val="Hyperlink"/>
    <w:basedOn w:val="DefaultParagraphFont"/>
    <w:uiPriority w:val="99"/>
    <w:unhideWhenUsed/>
    <w:rsid w:val="003820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pcnet.eu/LinkClick.aspx?fileticket=7hi45GYUhq0%3d&amp;tabid=1709" TargetMode="External"/><Relationship Id="rId3" Type="http://schemas.microsoft.com/office/2007/relationships/stylesWithEffects" Target="stylesWithEffects.xml"/><Relationship Id="rId7" Type="http://schemas.openxmlformats.org/officeDocument/2006/relationships/hyperlink" Target="https://www.coe.int/t/dg3/health/Source/Rec(2003)24_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c8.com/drug-addiction/what-is-pseudo.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2</cp:revision>
  <dcterms:created xsi:type="dcterms:W3CDTF">2020-02-17T10:15:00Z</dcterms:created>
  <dcterms:modified xsi:type="dcterms:W3CDTF">2020-02-19T14:11:00Z</dcterms:modified>
</cp:coreProperties>
</file>