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796"/>
      </w:tblGrid>
      <w:tr w:rsidR="008676AC" w:rsidRPr="00676303" w14:paraId="5D5A3BD6" w14:textId="77777777" w:rsidTr="005B2359">
        <w:tc>
          <w:tcPr>
            <w:tcW w:w="9209" w:type="dxa"/>
            <w:gridSpan w:val="2"/>
            <w:shd w:val="clear" w:color="auto" w:fill="D9E2F3" w:themeFill="accent1" w:themeFillTint="33"/>
          </w:tcPr>
          <w:p w14:paraId="207FAE9B" w14:textId="77777777" w:rsidR="008676AC" w:rsidRPr="00676303" w:rsidRDefault="008676AC" w:rsidP="005B2359">
            <w:pPr>
              <w:spacing w:after="0" w:line="20" w:lineRule="atLeast"/>
              <w:jc w:val="center"/>
              <w:rPr>
                <w:rFonts w:asciiTheme="minorHAnsi" w:hAnsiTheme="minorHAnsi" w:cstheme="minorHAnsi"/>
                <w:b/>
                <w:i/>
                <w:sz w:val="20"/>
                <w:szCs w:val="20"/>
                <w:lang w:val="en-US"/>
              </w:rPr>
            </w:pPr>
            <w:r w:rsidRPr="00676303">
              <w:rPr>
                <w:rFonts w:asciiTheme="minorHAnsi" w:hAnsiTheme="minorHAnsi" w:cstheme="minorHAnsi"/>
                <w:b/>
                <w:i/>
                <w:sz w:val="20"/>
                <w:szCs w:val="20"/>
                <w:lang w:val="en-US"/>
              </w:rPr>
              <w:t xml:space="preserve">Lesson Plan </w:t>
            </w:r>
          </w:p>
        </w:tc>
      </w:tr>
      <w:tr w:rsidR="008676AC" w:rsidRPr="00676303" w14:paraId="2240879E" w14:textId="77777777" w:rsidTr="005B2359">
        <w:tc>
          <w:tcPr>
            <w:tcW w:w="1413" w:type="dxa"/>
            <w:shd w:val="clear" w:color="auto" w:fill="D9E2F3" w:themeFill="accent1" w:themeFillTint="33"/>
          </w:tcPr>
          <w:p w14:paraId="69B65E2D"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Teaching Unit</w:t>
            </w:r>
          </w:p>
        </w:tc>
        <w:tc>
          <w:tcPr>
            <w:tcW w:w="7796" w:type="dxa"/>
            <w:shd w:val="clear" w:color="auto" w:fill="auto"/>
          </w:tcPr>
          <w:p w14:paraId="1447D199" w14:textId="77777777" w:rsidR="008676AC" w:rsidRPr="00676303" w:rsidRDefault="008676AC" w:rsidP="005B2359">
            <w:pPr>
              <w:spacing w:after="0" w:line="20" w:lineRule="atLeast"/>
              <w:rPr>
                <w:rFonts w:asciiTheme="minorHAnsi" w:eastAsia="Times New Roman" w:hAnsiTheme="minorHAnsi" w:cstheme="minorHAnsi"/>
                <w:bCs/>
                <w:color w:val="000000"/>
                <w:sz w:val="20"/>
                <w:szCs w:val="20"/>
                <w:lang w:val="en-US" w:eastAsia="en-GB"/>
              </w:rPr>
            </w:pPr>
            <w:r w:rsidRPr="00676303">
              <w:rPr>
                <w:rFonts w:asciiTheme="minorHAnsi" w:hAnsiTheme="minorHAnsi" w:cstheme="minorHAnsi"/>
                <w:iCs/>
                <w:color w:val="000000"/>
                <w:sz w:val="20"/>
                <w:szCs w:val="20"/>
                <w:lang w:val="en-US"/>
              </w:rPr>
              <w:t>Symptom Assessment and Management</w:t>
            </w:r>
            <w:r w:rsidRPr="00676303">
              <w:rPr>
                <w:rFonts w:asciiTheme="minorHAnsi" w:eastAsia="Times New Roman" w:hAnsiTheme="minorHAnsi" w:cstheme="minorHAnsi"/>
                <w:bCs/>
                <w:color w:val="000000"/>
                <w:sz w:val="20"/>
                <w:szCs w:val="20"/>
                <w:lang w:val="en-US" w:eastAsia="en-GB"/>
              </w:rPr>
              <w:t xml:space="preserve"> </w:t>
            </w:r>
          </w:p>
        </w:tc>
      </w:tr>
      <w:tr w:rsidR="008676AC" w:rsidRPr="00676303" w14:paraId="0787F837" w14:textId="77777777" w:rsidTr="005B2359">
        <w:tc>
          <w:tcPr>
            <w:tcW w:w="1413" w:type="dxa"/>
            <w:shd w:val="clear" w:color="auto" w:fill="D9E2F3" w:themeFill="accent1" w:themeFillTint="33"/>
          </w:tcPr>
          <w:p w14:paraId="209F723F"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Title</w:t>
            </w:r>
          </w:p>
        </w:tc>
        <w:tc>
          <w:tcPr>
            <w:tcW w:w="7796" w:type="dxa"/>
            <w:shd w:val="clear" w:color="auto" w:fill="auto"/>
          </w:tcPr>
          <w:p w14:paraId="1FEE970E" w14:textId="77777777" w:rsidR="008676AC" w:rsidRPr="00676303" w:rsidRDefault="008676AC" w:rsidP="005B2359">
            <w:pPr>
              <w:spacing w:after="0" w:line="20" w:lineRule="atLeast"/>
              <w:rPr>
                <w:rFonts w:asciiTheme="minorHAnsi" w:eastAsia="Times New Roman" w:hAnsiTheme="minorHAnsi" w:cstheme="minorHAnsi"/>
                <w:b/>
                <w:bCs/>
                <w:sz w:val="20"/>
                <w:szCs w:val="20"/>
                <w:lang w:val="en-US" w:eastAsia="en-GB"/>
              </w:rPr>
            </w:pPr>
            <w:r w:rsidRPr="00676303">
              <w:rPr>
                <w:rFonts w:asciiTheme="minorHAnsi" w:eastAsia="Times New Roman" w:hAnsiTheme="minorHAnsi" w:cstheme="minorHAnsi"/>
                <w:b/>
                <w:bCs/>
                <w:sz w:val="20"/>
                <w:szCs w:val="20"/>
                <w:lang w:val="en-US" w:eastAsia="en-GB"/>
              </w:rPr>
              <w:t xml:space="preserve">Assessment and Management of Common Symptoms in Palliative Care </w:t>
            </w:r>
          </w:p>
          <w:p w14:paraId="1F25C875" w14:textId="77777777" w:rsidR="008676AC" w:rsidRPr="00EE3E0C" w:rsidRDefault="008676AC" w:rsidP="00EE3E0C">
            <w:pPr>
              <w:spacing w:after="0" w:line="20" w:lineRule="atLeast"/>
              <w:rPr>
                <w:rFonts w:asciiTheme="minorHAnsi" w:eastAsia="Times New Roman" w:hAnsiTheme="minorHAnsi" w:cstheme="minorHAnsi"/>
                <w:bCs/>
                <w:color w:val="000000"/>
                <w:sz w:val="20"/>
                <w:szCs w:val="20"/>
                <w:lang w:val="en-US" w:eastAsia="en-GB"/>
              </w:rPr>
            </w:pPr>
            <w:r w:rsidRPr="00EE3E0C">
              <w:rPr>
                <w:rFonts w:asciiTheme="minorHAnsi" w:hAnsiTheme="minorHAnsi" w:cstheme="minorHAnsi"/>
                <w:bCs/>
                <w:sz w:val="20"/>
                <w:szCs w:val="20"/>
                <w:lang w:val="en-US"/>
              </w:rPr>
              <w:t xml:space="preserve">Constipation/ </w:t>
            </w:r>
            <w:proofErr w:type="spellStart"/>
            <w:r w:rsidRPr="00EE3E0C">
              <w:rPr>
                <w:rFonts w:asciiTheme="minorHAnsi" w:hAnsiTheme="minorHAnsi" w:cstheme="minorHAnsi"/>
                <w:bCs/>
                <w:sz w:val="20"/>
                <w:szCs w:val="20"/>
                <w:lang w:val="en-US"/>
              </w:rPr>
              <w:t>Diarrhoea</w:t>
            </w:r>
            <w:proofErr w:type="spellEnd"/>
            <w:r w:rsidRPr="00EE3E0C">
              <w:rPr>
                <w:rFonts w:asciiTheme="minorHAnsi" w:hAnsiTheme="minorHAnsi" w:cstheme="minorHAnsi"/>
                <w:bCs/>
                <w:sz w:val="20"/>
                <w:szCs w:val="20"/>
                <w:lang w:val="en-US"/>
              </w:rPr>
              <w:t>/</w:t>
            </w:r>
            <w:r w:rsidRPr="00EE3E0C">
              <w:rPr>
                <w:rFonts w:asciiTheme="minorHAnsi" w:hAnsiTheme="minorHAnsi" w:cstheme="minorHAnsi"/>
                <w:iCs/>
                <w:sz w:val="20"/>
                <w:szCs w:val="20"/>
                <w:lang w:val="en-US"/>
              </w:rPr>
              <w:t xml:space="preserve"> </w:t>
            </w:r>
            <w:r w:rsidRPr="00EE3E0C">
              <w:rPr>
                <w:rFonts w:asciiTheme="minorHAnsi" w:hAnsiTheme="minorHAnsi" w:cstheme="minorHAnsi"/>
                <w:bCs/>
                <w:sz w:val="20"/>
                <w:szCs w:val="20"/>
                <w:lang w:val="en-US"/>
              </w:rPr>
              <w:t>Nausea / Vomiting/</w:t>
            </w:r>
            <w:r w:rsidRPr="00EE3E0C">
              <w:rPr>
                <w:rFonts w:asciiTheme="minorHAnsi" w:hAnsiTheme="minorHAnsi" w:cstheme="minorHAnsi"/>
                <w:iCs/>
                <w:sz w:val="20"/>
                <w:szCs w:val="20"/>
                <w:lang w:val="en-US"/>
              </w:rPr>
              <w:t xml:space="preserve"> </w:t>
            </w:r>
            <w:r w:rsidRPr="00EE3E0C">
              <w:rPr>
                <w:rFonts w:asciiTheme="minorHAnsi" w:hAnsiTheme="minorHAnsi" w:cstheme="minorHAnsi"/>
                <w:bCs/>
                <w:sz w:val="20"/>
                <w:szCs w:val="20"/>
                <w:lang w:val="en-US"/>
              </w:rPr>
              <w:t>Anorexia, Cachexia</w:t>
            </w:r>
            <w:bookmarkStart w:id="0" w:name="_FATIGUE"/>
            <w:bookmarkEnd w:id="0"/>
            <w:r w:rsidRPr="00EE3E0C">
              <w:rPr>
                <w:rFonts w:asciiTheme="minorHAnsi" w:hAnsiTheme="minorHAnsi" w:cstheme="minorHAnsi"/>
                <w:bCs/>
                <w:sz w:val="20"/>
                <w:szCs w:val="20"/>
                <w:lang w:val="en-US"/>
              </w:rPr>
              <w:t>, Fatigue/</w:t>
            </w:r>
            <w:r w:rsidRPr="00EE3E0C">
              <w:rPr>
                <w:rFonts w:asciiTheme="minorHAnsi" w:hAnsiTheme="minorHAnsi" w:cstheme="minorHAnsi"/>
                <w:iCs/>
                <w:sz w:val="20"/>
                <w:szCs w:val="20"/>
                <w:lang w:val="en-US"/>
              </w:rPr>
              <w:t xml:space="preserve"> </w:t>
            </w:r>
            <w:r w:rsidRPr="00EE3E0C">
              <w:rPr>
                <w:rFonts w:asciiTheme="minorHAnsi" w:hAnsiTheme="minorHAnsi" w:cstheme="minorHAnsi"/>
                <w:bCs/>
                <w:sz w:val="20"/>
                <w:szCs w:val="20"/>
                <w:lang w:val="en-US"/>
              </w:rPr>
              <w:t xml:space="preserve">Oral problems (Xerostomia, Dysphagia) </w:t>
            </w:r>
            <w:proofErr w:type="spellStart"/>
            <w:r w:rsidRPr="00EE3E0C">
              <w:rPr>
                <w:rFonts w:asciiTheme="minorHAnsi" w:hAnsiTheme="minorHAnsi" w:cstheme="minorHAnsi"/>
                <w:bCs/>
                <w:sz w:val="20"/>
                <w:szCs w:val="20"/>
                <w:lang w:val="en-US"/>
              </w:rPr>
              <w:t>Dyspnoea</w:t>
            </w:r>
            <w:bookmarkStart w:id="1" w:name="_COUGH"/>
            <w:bookmarkEnd w:id="1"/>
            <w:proofErr w:type="spellEnd"/>
            <w:r w:rsidRPr="00EE3E0C">
              <w:rPr>
                <w:rFonts w:asciiTheme="minorHAnsi" w:hAnsiTheme="minorHAnsi" w:cstheme="minorHAnsi"/>
                <w:bCs/>
                <w:sz w:val="20"/>
                <w:szCs w:val="20"/>
                <w:lang w:val="en-US"/>
              </w:rPr>
              <w:t xml:space="preserve"> /Cough</w:t>
            </w:r>
          </w:p>
        </w:tc>
      </w:tr>
      <w:tr w:rsidR="008676AC" w:rsidRPr="00676303" w14:paraId="4C4E5E40" w14:textId="77777777" w:rsidTr="005B2359">
        <w:tc>
          <w:tcPr>
            <w:tcW w:w="1413" w:type="dxa"/>
            <w:shd w:val="clear" w:color="auto" w:fill="D9E2F3" w:themeFill="accent1" w:themeFillTint="33"/>
          </w:tcPr>
          <w:p w14:paraId="064A02F1"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Outcome</w:t>
            </w:r>
          </w:p>
        </w:tc>
        <w:tc>
          <w:tcPr>
            <w:tcW w:w="7796" w:type="dxa"/>
            <w:shd w:val="clear" w:color="auto" w:fill="auto"/>
          </w:tcPr>
          <w:p w14:paraId="605F8A6D" w14:textId="70CEA843" w:rsidR="008676AC" w:rsidRPr="00676303" w:rsidRDefault="008676AC" w:rsidP="005B2359">
            <w:pPr>
              <w:spacing w:after="0" w:line="20" w:lineRule="atLeast"/>
              <w:rPr>
                <w:rFonts w:asciiTheme="minorHAnsi" w:eastAsiaTheme="minorHAnsi" w:hAnsiTheme="minorHAnsi" w:cstheme="minorHAnsi"/>
                <w:iCs/>
                <w:color w:val="000000"/>
                <w:sz w:val="20"/>
                <w:szCs w:val="20"/>
                <w:lang w:val="en-US"/>
              </w:rPr>
            </w:pPr>
            <w:r w:rsidRPr="00676303">
              <w:rPr>
                <w:rFonts w:asciiTheme="minorHAnsi" w:eastAsiaTheme="minorHAnsi" w:hAnsiTheme="minorHAnsi" w:cstheme="minorHAnsi"/>
                <w:iCs/>
                <w:color w:val="000000"/>
                <w:sz w:val="20"/>
                <w:szCs w:val="20"/>
                <w:lang w:val="en-US"/>
              </w:rPr>
              <w:t xml:space="preserve">To </w:t>
            </w:r>
            <w:r w:rsidRPr="00676303">
              <w:rPr>
                <w:rFonts w:asciiTheme="minorHAnsi" w:eastAsiaTheme="minorHAnsi" w:hAnsiTheme="minorHAnsi"/>
                <w:iCs/>
                <w:color w:val="000000"/>
                <w:sz w:val="20"/>
                <w:szCs w:val="20"/>
                <w:lang w:val="en-US"/>
              </w:rPr>
              <w:t>asses</w:t>
            </w:r>
            <w:r>
              <w:rPr>
                <w:rFonts w:asciiTheme="minorHAnsi" w:eastAsiaTheme="minorHAnsi" w:hAnsiTheme="minorHAnsi"/>
                <w:iCs/>
                <w:color w:val="000000"/>
                <w:sz w:val="20"/>
                <w:szCs w:val="20"/>
                <w:lang w:val="en-US"/>
              </w:rPr>
              <w:t>s</w:t>
            </w:r>
            <w:r w:rsidRPr="00676303">
              <w:rPr>
                <w:rFonts w:asciiTheme="minorHAnsi" w:eastAsiaTheme="minorHAnsi" w:hAnsiTheme="minorHAnsi"/>
                <w:iCs/>
                <w:color w:val="000000"/>
                <w:sz w:val="20"/>
                <w:szCs w:val="20"/>
                <w:lang w:val="en-US"/>
              </w:rPr>
              <w:t xml:space="preserve"> and manage common symptoms</w:t>
            </w:r>
            <w:r w:rsidRPr="00676303">
              <w:rPr>
                <w:rFonts w:asciiTheme="minorHAnsi" w:eastAsiaTheme="minorHAnsi" w:hAnsiTheme="minorHAnsi" w:cstheme="minorHAnsi"/>
                <w:iCs/>
                <w:color w:val="000000"/>
                <w:sz w:val="20"/>
                <w:szCs w:val="20"/>
                <w:lang w:val="en-US"/>
              </w:rPr>
              <w:t xml:space="preserve"> palliative care </w:t>
            </w:r>
            <w:r w:rsidRPr="00676303">
              <w:rPr>
                <w:rFonts w:asciiTheme="minorHAnsi" w:eastAsiaTheme="minorHAnsi" w:hAnsiTheme="minorHAnsi"/>
                <w:iCs/>
                <w:color w:val="000000"/>
                <w:sz w:val="20"/>
                <w:szCs w:val="20"/>
                <w:lang w:val="en-US"/>
              </w:rPr>
              <w:t>using best evidence guidelines and protocols of care</w:t>
            </w:r>
            <w:r w:rsidRPr="00676303">
              <w:rPr>
                <w:rFonts w:asciiTheme="minorHAnsi" w:eastAsiaTheme="minorHAnsi" w:hAnsiTheme="minorHAnsi" w:cstheme="minorHAnsi"/>
                <w:iCs/>
                <w:color w:val="000000"/>
                <w:sz w:val="20"/>
                <w:szCs w:val="20"/>
                <w:lang w:val="en-US"/>
              </w:rPr>
              <w:t xml:space="preserve"> </w:t>
            </w:r>
          </w:p>
        </w:tc>
      </w:tr>
      <w:tr w:rsidR="008676AC" w:rsidRPr="00676303" w14:paraId="2C1A4AB2" w14:textId="77777777" w:rsidTr="005B2359">
        <w:tc>
          <w:tcPr>
            <w:tcW w:w="1413" w:type="dxa"/>
            <w:shd w:val="clear" w:color="auto" w:fill="D9E2F3" w:themeFill="accent1" w:themeFillTint="33"/>
          </w:tcPr>
          <w:p w14:paraId="7582913E"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Summary </w:t>
            </w:r>
          </w:p>
        </w:tc>
        <w:tc>
          <w:tcPr>
            <w:tcW w:w="7796" w:type="dxa"/>
            <w:shd w:val="clear" w:color="auto" w:fill="auto"/>
          </w:tcPr>
          <w:p w14:paraId="2D0AE91E" w14:textId="77777777" w:rsidR="008676AC" w:rsidRPr="00676303" w:rsidRDefault="008676AC" w:rsidP="005B2359">
            <w:pPr>
              <w:spacing w:after="0" w:line="20" w:lineRule="atLeast"/>
              <w:rPr>
                <w:rFonts w:asciiTheme="minorHAnsi" w:eastAsiaTheme="minorHAnsi" w:hAnsiTheme="minorHAnsi"/>
                <w:sz w:val="20"/>
                <w:szCs w:val="20"/>
                <w:lang w:val="en-US"/>
              </w:rPr>
            </w:pPr>
            <w:r w:rsidRPr="00676303">
              <w:rPr>
                <w:rFonts w:asciiTheme="minorHAnsi" w:hAnsiTheme="minorHAnsi"/>
                <w:sz w:val="20"/>
                <w:szCs w:val="20"/>
                <w:lang w:val="en-US"/>
              </w:rPr>
              <w:t>Managing symptoms is a crucial part of palliative care. Palliative symptom management models highlight the need to ensure that symptom management interventions are targeted to the generating cause and concomitantly increase patient quality of life and comfort. A general principle of symptom management is to assess, plan, implement, monitor outcomes and include the patient and family in decision throughout the care.</w:t>
            </w:r>
          </w:p>
          <w:p w14:paraId="169DE577" w14:textId="77777777" w:rsidR="008676AC" w:rsidRPr="00676303" w:rsidRDefault="008676AC" w:rsidP="005B2359">
            <w:pPr>
              <w:spacing w:after="0" w:line="20" w:lineRule="atLeast"/>
              <w:rPr>
                <w:rFonts w:asciiTheme="minorHAnsi" w:hAnsiTheme="minorHAnsi"/>
                <w:sz w:val="20"/>
                <w:szCs w:val="20"/>
                <w:lang w:val="en-US"/>
              </w:rPr>
            </w:pPr>
            <w:r w:rsidRPr="00676303">
              <w:rPr>
                <w:rFonts w:asciiTheme="minorHAnsi" w:hAnsiTheme="minorHAnsi"/>
                <w:sz w:val="20"/>
                <w:szCs w:val="20"/>
                <w:lang w:val="en-US"/>
              </w:rPr>
              <w:t xml:space="preserve">Gastrointestinal and respiratory symptoms are very common in palliative care. </w:t>
            </w:r>
          </w:p>
          <w:p w14:paraId="4278B73C" w14:textId="77777777" w:rsidR="008676AC" w:rsidRPr="00676303" w:rsidRDefault="008676AC" w:rsidP="005B2359">
            <w:pPr>
              <w:spacing w:after="0" w:line="20" w:lineRule="atLeast"/>
              <w:rPr>
                <w:rFonts w:asciiTheme="minorHAnsi" w:hAnsiTheme="minorHAnsi"/>
                <w:sz w:val="20"/>
                <w:szCs w:val="20"/>
                <w:lang w:val="en-US"/>
              </w:rPr>
            </w:pPr>
            <w:r w:rsidRPr="00676303">
              <w:rPr>
                <w:rFonts w:asciiTheme="minorHAnsi" w:hAnsiTheme="minorHAnsi"/>
                <w:sz w:val="20"/>
                <w:szCs w:val="20"/>
                <w:lang w:val="en-US"/>
              </w:rPr>
              <w:t>It is important to fully assess and consider all possible causes, including those which may require specific treatments.</w:t>
            </w:r>
          </w:p>
        </w:tc>
      </w:tr>
      <w:tr w:rsidR="008676AC" w:rsidRPr="00676303" w14:paraId="5548E941" w14:textId="77777777" w:rsidTr="005B2359">
        <w:tc>
          <w:tcPr>
            <w:tcW w:w="1413" w:type="dxa"/>
            <w:shd w:val="clear" w:color="auto" w:fill="D9E2F3" w:themeFill="accent1" w:themeFillTint="33"/>
          </w:tcPr>
          <w:p w14:paraId="07B05699"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Objectives</w:t>
            </w:r>
          </w:p>
          <w:p w14:paraId="12F6ED72" w14:textId="77777777" w:rsidR="008676AC" w:rsidRPr="00676303" w:rsidRDefault="008676AC"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25FFFB4B" w14:textId="77777777" w:rsidR="008676AC" w:rsidRPr="00676303" w:rsidRDefault="008676AC"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68582DA8" w14:textId="77777777" w:rsidR="008676AC" w:rsidRPr="00676303" w:rsidRDefault="008676AC"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19DC75D4" w14:textId="77777777" w:rsidR="008676AC" w:rsidRPr="00676303" w:rsidRDefault="008676AC" w:rsidP="005B2359">
            <w:pPr>
              <w:spacing w:after="0" w:line="20" w:lineRule="atLeast"/>
              <w:rPr>
                <w:rFonts w:asciiTheme="minorHAnsi" w:hAnsiTheme="minorHAnsi" w:cstheme="minorHAnsi"/>
                <w:b/>
                <w:sz w:val="20"/>
                <w:szCs w:val="20"/>
                <w:lang w:val="en-US"/>
              </w:rPr>
            </w:pPr>
          </w:p>
        </w:tc>
        <w:tc>
          <w:tcPr>
            <w:tcW w:w="7796" w:type="dxa"/>
            <w:shd w:val="clear" w:color="auto" w:fill="auto"/>
          </w:tcPr>
          <w:p w14:paraId="39A0F9CB"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C- Cognition  </w:t>
            </w:r>
          </w:p>
          <w:p w14:paraId="6F9BA7ED" w14:textId="091B2106" w:rsidR="008676AC" w:rsidRPr="00676303" w:rsidRDefault="008676AC" w:rsidP="005B2359">
            <w:pPr>
              <w:pStyle w:val="ListParagraph"/>
              <w:numPr>
                <w:ilvl w:val="0"/>
                <w:numId w:val="3"/>
              </w:numPr>
              <w:spacing w:after="0" w:line="20" w:lineRule="atLeast"/>
              <w:rPr>
                <w:rFonts w:asciiTheme="minorHAnsi" w:hAnsiTheme="minorHAnsi" w:cstheme="minorHAnsi"/>
                <w:iCs/>
                <w:color w:val="000000"/>
                <w:sz w:val="20"/>
                <w:szCs w:val="20"/>
                <w:lang w:val="en-US"/>
              </w:rPr>
            </w:pPr>
            <w:r w:rsidRPr="00676303">
              <w:rPr>
                <w:rFonts w:asciiTheme="minorHAnsi" w:hAnsiTheme="minorHAnsi" w:cstheme="minorHAnsi"/>
                <w:iCs/>
                <w:color w:val="000000"/>
                <w:sz w:val="20"/>
                <w:szCs w:val="20"/>
                <w:lang w:val="en-US"/>
              </w:rPr>
              <w:t xml:space="preserve">Outline common causes of common symptoms, including: Constipation; </w:t>
            </w:r>
            <w:proofErr w:type="spellStart"/>
            <w:r w:rsidRPr="00676303">
              <w:rPr>
                <w:rFonts w:asciiTheme="minorHAnsi" w:hAnsiTheme="minorHAnsi" w:cstheme="minorHAnsi"/>
                <w:iCs/>
                <w:color w:val="000000"/>
                <w:sz w:val="20"/>
                <w:szCs w:val="20"/>
                <w:lang w:val="en-US"/>
              </w:rPr>
              <w:t>Diarrhoea</w:t>
            </w:r>
            <w:proofErr w:type="spellEnd"/>
            <w:r w:rsidRPr="00676303">
              <w:rPr>
                <w:rFonts w:asciiTheme="minorHAnsi" w:hAnsiTheme="minorHAnsi" w:cstheme="minorHAnsi"/>
                <w:iCs/>
                <w:color w:val="000000"/>
                <w:sz w:val="20"/>
                <w:szCs w:val="20"/>
                <w:lang w:val="en-US"/>
              </w:rPr>
              <w:t xml:space="preserve">; Nausea; Vomiting; Anorexia; Cachexia; Fatigue; Oral problems (Xerostomia, Dysphagia); </w:t>
            </w:r>
          </w:p>
          <w:p w14:paraId="41861E5E" w14:textId="77777777" w:rsidR="008676AC" w:rsidRPr="00676303" w:rsidRDefault="008676AC" w:rsidP="005B2359">
            <w:pPr>
              <w:pStyle w:val="ListParagraph"/>
              <w:numPr>
                <w:ilvl w:val="1"/>
                <w:numId w:val="3"/>
              </w:numPr>
              <w:spacing w:after="0" w:line="20" w:lineRule="atLeast"/>
              <w:rPr>
                <w:rFonts w:asciiTheme="minorHAnsi" w:hAnsiTheme="minorHAnsi" w:cstheme="minorHAnsi"/>
                <w:iCs/>
                <w:color w:val="000000"/>
                <w:sz w:val="20"/>
                <w:szCs w:val="20"/>
                <w:lang w:val="en-US"/>
              </w:rPr>
            </w:pPr>
            <w:proofErr w:type="spellStart"/>
            <w:r w:rsidRPr="00676303">
              <w:rPr>
                <w:rFonts w:asciiTheme="minorHAnsi" w:hAnsiTheme="minorHAnsi" w:cstheme="minorHAnsi"/>
                <w:iCs/>
                <w:color w:val="000000"/>
                <w:sz w:val="20"/>
                <w:szCs w:val="20"/>
                <w:lang w:val="en-US"/>
              </w:rPr>
              <w:t>Dyspnoea</w:t>
            </w:r>
            <w:proofErr w:type="spellEnd"/>
            <w:r w:rsidRPr="00676303">
              <w:rPr>
                <w:rFonts w:asciiTheme="minorHAnsi" w:hAnsiTheme="minorHAnsi" w:cstheme="minorHAnsi"/>
                <w:iCs/>
                <w:color w:val="000000"/>
                <w:sz w:val="20"/>
                <w:szCs w:val="20"/>
                <w:lang w:val="en-US"/>
              </w:rPr>
              <w:t xml:space="preserve">; Cough. </w:t>
            </w:r>
          </w:p>
          <w:p w14:paraId="5147CBF2" w14:textId="77777777" w:rsidR="008676AC" w:rsidRPr="00676303" w:rsidRDefault="008676AC" w:rsidP="005B2359">
            <w:pPr>
              <w:pStyle w:val="ListParagraph"/>
              <w:numPr>
                <w:ilvl w:val="0"/>
                <w:numId w:val="3"/>
              </w:numPr>
              <w:spacing w:after="0" w:line="20" w:lineRule="atLeast"/>
              <w:rPr>
                <w:rFonts w:asciiTheme="minorHAnsi" w:hAnsiTheme="minorHAnsi" w:cstheme="minorHAnsi"/>
                <w:iCs/>
                <w:color w:val="000000"/>
                <w:sz w:val="20"/>
                <w:szCs w:val="20"/>
                <w:lang w:val="en-US"/>
              </w:rPr>
            </w:pPr>
            <w:r w:rsidRPr="00676303">
              <w:rPr>
                <w:rFonts w:asciiTheme="minorHAnsi" w:hAnsiTheme="minorHAnsi" w:cstheme="minorHAnsi"/>
                <w:iCs/>
                <w:color w:val="000000"/>
                <w:sz w:val="20"/>
                <w:szCs w:val="20"/>
                <w:lang w:val="en-US"/>
              </w:rPr>
              <w:t>Describe and justify management plans for uncomplicated symptoms, incorporating pharmacological and non-pharmacological approaches to care.</w:t>
            </w:r>
          </w:p>
          <w:p w14:paraId="4A67EDE9" w14:textId="77777777" w:rsidR="008676AC" w:rsidRPr="00676303" w:rsidRDefault="008676AC" w:rsidP="005B2359">
            <w:pPr>
              <w:spacing w:after="0" w:line="20" w:lineRule="atLeast"/>
              <w:rPr>
                <w:rFonts w:asciiTheme="minorHAnsi" w:hAnsiTheme="minorHAnsi" w:cstheme="minorHAnsi"/>
                <w:iCs/>
                <w:color w:val="000000"/>
                <w:sz w:val="20"/>
                <w:szCs w:val="20"/>
                <w:lang w:val="en-US"/>
              </w:rPr>
            </w:pPr>
            <w:r w:rsidRPr="00676303">
              <w:rPr>
                <w:rFonts w:asciiTheme="minorHAnsi" w:eastAsia="Times New Roman" w:hAnsiTheme="minorHAnsi" w:cstheme="minorHAnsi"/>
                <w:bCs/>
                <w:color w:val="000000"/>
                <w:sz w:val="20"/>
                <w:szCs w:val="20"/>
                <w:lang w:val="en-US" w:eastAsia="en-GB"/>
              </w:rPr>
              <w:t xml:space="preserve"> </w:t>
            </w:r>
            <w:r w:rsidRPr="00676303">
              <w:rPr>
                <w:rFonts w:asciiTheme="minorHAnsi" w:hAnsiTheme="minorHAnsi" w:cstheme="minorHAnsi"/>
                <w:b/>
                <w:sz w:val="20"/>
                <w:szCs w:val="20"/>
                <w:lang w:val="en-US"/>
              </w:rPr>
              <w:t>S - Skills</w:t>
            </w:r>
            <w:r w:rsidRPr="00676303">
              <w:rPr>
                <w:rFonts w:asciiTheme="minorHAnsi" w:hAnsiTheme="minorHAnsi" w:cstheme="minorHAnsi"/>
                <w:iCs/>
                <w:color w:val="000000"/>
                <w:sz w:val="20"/>
                <w:szCs w:val="20"/>
                <w:lang w:val="en-US"/>
              </w:rPr>
              <w:t xml:space="preserve"> </w:t>
            </w:r>
          </w:p>
          <w:p w14:paraId="101EEC2C" w14:textId="77777777" w:rsidR="008676AC" w:rsidRPr="00676303" w:rsidRDefault="008676AC" w:rsidP="005B2359">
            <w:pPr>
              <w:pStyle w:val="ListParagraph"/>
              <w:numPr>
                <w:ilvl w:val="0"/>
                <w:numId w:val="4"/>
              </w:numPr>
              <w:spacing w:after="0" w:line="20" w:lineRule="atLeast"/>
              <w:rPr>
                <w:rFonts w:asciiTheme="minorHAnsi" w:hAnsiTheme="minorHAnsi" w:cstheme="minorHAnsi"/>
                <w:iCs/>
                <w:color w:val="000000"/>
                <w:sz w:val="20"/>
                <w:szCs w:val="20"/>
                <w:lang w:val="en-US"/>
              </w:rPr>
            </w:pPr>
            <w:r w:rsidRPr="00676303">
              <w:rPr>
                <w:rFonts w:asciiTheme="minorHAnsi" w:hAnsiTheme="minorHAnsi" w:cstheme="minorHAnsi"/>
                <w:iCs/>
                <w:color w:val="000000"/>
                <w:sz w:val="20"/>
                <w:szCs w:val="20"/>
                <w:lang w:val="en-US"/>
              </w:rPr>
              <w:t>Demonstrate the ability to provide education to people with life-limiting conditions, in the context of management of symptoms</w:t>
            </w:r>
          </w:p>
          <w:p w14:paraId="0D571660"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A – Attitudes</w:t>
            </w:r>
          </w:p>
          <w:p w14:paraId="610211CD" w14:textId="77777777" w:rsidR="008676AC" w:rsidRPr="00676303" w:rsidRDefault="008676AC" w:rsidP="005B2359">
            <w:pPr>
              <w:pStyle w:val="ListParagraph"/>
              <w:numPr>
                <w:ilvl w:val="0"/>
                <w:numId w:val="5"/>
              </w:numPr>
              <w:autoSpaceDE w:val="0"/>
              <w:autoSpaceDN w:val="0"/>
              <w:adjustRightInd w:val="0"/>
              <w:spacing w:after="0" w:line="20" w:lineRule="atLeast"/>
              <w:rPr>
                <w:rFonts w:asciiTheme="minorHAnsi" w:hAnsiTheme="minorHAnsi" w:cstheme="minorHAnsi"/>
                <w:iCs/>
                <w:sz w:val="20"/>
                <w:szCs w:val="20"/>
                <w:lang w:val="en-US"/>
              </w:rPr>
            </w:pPr>
            <w:r w:rsidRPr="00676303">
              <w:rPr>
                <w:rFonts w:asciiTheme="minorHAnsi" w:eastAsiaTheme="minorHAnsi" w:hAnsiTheme="minorHAnsi" w:cstheme="minorHAnsi"/>
                <w:iCs/>
                <w:color w:val="000000"/>
                <w:sz w:val="20"/>
                <w:szCs w:val="20"/>
                <w:lang w:val="en-US"/>
              </w:rPr>
              <w:t>Reflect on how each symptom affects the quality of life of the patient</w:t>
            </w:r>
          </w:p>
          <w:p w14:paraId="2771D6C4" w14:textId="77777777" w:rsidR="008676AC" w:rsidRPr="00676303" w:rsidRDefault="008676AC" w:rsidP="005B2359">
            <w:pPr>
              <w:pStyle w:val="ListParagraph"/>
              <w:numPr>
                <w:ilvl w:val="0"/>
                <w:numId w:val="5"/>
              </w:numPr>
              <w:autoSpaceDE w:val="0"/>
              <w:autoSpaceDN w:val="0"/>
              <w:adjustRightInd w:val="0"/>
              <w:spacing w:after="0" w:line="20" w:lineRule="atLeast"/>
              <w:rPr>
                <w:rFonts w:asciiTheme="minorHAnsi" w:eastAsiaTheme="minorHAnsi" w:hAnsiTheme="minorHAnsi" w:cstheme="minorHAnsi"/>
                <w:iCs/>
                <w:color w:val="000000"/>
                <w:sz w:val="20"/>
                <w:szCs w:val="20"/>
                <w:lang w:val="en-US"/>
              </w:rPr>
            </w:pPr>
            <w:r w:rsidRPr="00676303">
              <w:rPr>
                <w:rFonts w:asciiTheme="minorHAnsi" w:eastAsiaTheme="minorHAnsi" w:hAnsiTheme="minorHAnsi" w:cstheme="minorHAnsi"/>
                <w:iCs/>
                <w:color w:val="000000"/>
                <w:sz w:val="20"/>
                <w:szCs w:val="20"/>
                <w:lang w:val="en-US"/>
              </w:rPr>
              <w:t>Examine the limits of pharmacotherapy in relieving all/every symptom – and the doctors continued role in patient support.</w:t>
            </w:r>
          </w:p>
        </w:tc>
      </w:tr>
      <w:tr w:rsidR="008676AC" w:rsidRPr="00676303" w14:paraId="16513691" w14:textId="77777777" w:rsidTr="005B2359">
        <w:tc>
          <w:tcPr>
            <w:tcW w:w="1413" w:type="dxa"/>
            <w:shd w:val="clear" w:color="auto" w:fill="D9E2F3" w:themeFill="accent1" w:themeFillTint="33"/>
          </w:tcPr>
          <w:p w14:paraId="69294A76"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Methods</w:t>
            </w:r>
          </w:p>
        </w:tc>
        <w:tc>
          <w:tcPr>
            <w:tcW w:w="7796" w:type="dxa"/>
            <w:shd w:val="clear" w:color="auto" w:fill="auto"/>
          </w:tcPr>
          <w:p w14:paraId="701A87A0" w14:textId="77777777" w:rsidR="008676AC" w:rsidRPr="00676303" w:rsidRDefault="008676AC" w:rsidP="005B2359">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 xml:space="preserve">Online training </w:t>
            </w:r>
          </w:p>
          <w:p w14:paraId="44D20182" w14:textId="77777777" w:rsidR="008676AC" w:rsidRPr="00676303" w:rsidRDefault="008676AC" w:rsidP="005B2359">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 xml:space="preserve">Exercise: formative assessment </w:t>
            </w:r>
          </w:p>
          <w:p w14:paraId="47909FC8" w14:textId="77777777" w:rsidR="008676AC" w:rsidRPr="00676303" w:rsidRDefault="008676AC" w:rsidP="005B2359">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Case study</w:t>
            </w:r>
          </w:p>
          <w:p w14:paraId="124EA768" w14:textId="77777777" w:rsidR="008676AC" w:rsidRPr="00676303" w:rsidRDefault="008676AC" w:rsidP="005B2359">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Experiential learning through bed side observation</w:t>
            </w:r>
          </w:p>
          <w:p w14:paraId="6E78FBE6" w14:textId="77777777" w:rsidR="008676AC" w:rsidRPr="00676303" w:rsidRDefault="008676AC" w:rsidP="005B2359">
            <w:pPr>
              <w:pStyle w:val="Default"/>
              <w:numPr>
                <w:ilvl w:val="0"/>
                <w:numId w:val="1"/>
              </w:numPr>
              <w:spacing w:line="20" w:lineRule="atLeast"/>
              <w:rPr>
                <w:rFonts w:asciiTheme="minorHAnsi" w:hAnsiTheme="minorHAnsi"/>
                <w:sz w:val="20"/>
                <w:szCs w:val="20"/>
              </w:rPr>
            </w:pPr>
            <w:r w:rsidRPr="00676303">
              <w:rPr>
                <w:rFonts w:asciiTheme="minorHAnsi" w:hAnsiTheme="minorHAnsi"/>
                <w:sz w:val="20"/>
                <w:szCs w:val="20"/>
              </w:rPr>
              <w:t>Clinical discussion</w:t>
            </w:r>
            <w:r w:rsidRPr="00676303">
              <w:rPr>
                <w:rFonts w:asciiTheme="minorHAnsi" w:hAnsiTheme="minorHAnsi"/>
                <w:sz w:val="20"/>
                <w:szCs w:val="20"/>
              </w:rPr>
              <w:t></w:t>
            </w:r>
            <w:r w:rsidRPr="00676303">
              <w:rPr>
                <w:rFonts w:asciiTheme="minorHAnsi" w:hAnsiTheme="minorHAnsi"/>
                <w:sz w:val="20"/>
                <w:szCs w:val="20"/>
              </w:rPr>
              <w:t></w:t>
            </w:r>
            <w:r w:rsidRPr="00676303">
              <w:rPr>
                <w:rFonts w:asciiTheme="minorHAnsi" w:hAnsiTheme="minorHAnsi"/>
                <w:sz w:val="20"/>
                <w:szCs w:val="20"/>
              </w:rPr>
              <w:t xml:space="preserve">Ward based bedside teaching </w:t>
            </w:r>
          </w:p>
          <w:p w14:paraId="32648C75" w14:textId="77777777" w:rsidR="008676AC" w:rsidRPr="00676303" w:rsidRDefault="008676AC" w:rsidP="005B2359">
            <w:pPr>
              <w:pStyle w:val="Default"/>
              <w:numPr>
                <w:ilvl w:val="0"/>
                <w:numId w:val="1"/>
              </w:numPr>
              <w:spacing w:line="20" w:lineRule="atLeast"/>
              <w:rPr>
                <w:rFonts w:asciiTheme="minorHAnsi" w:hAnsiTheme="minorHAnsi" w:cstheme="minorHAnsi"/>
                <w:sz w:val="20"/>
                <w:szCs w:val="20"/>
              </w:rPr>
            </w:pPr>
            <w:r w:rsidRPr="00676303">
              <w:rPr>
                <w:rFonts w:asciiTheme="minorHAnsi" w:hAnsiTheme="minorHAnsi" w:cstheme="minorHAnsi"/>
                <w:sz w:val="20"/>
                <w:szCs w:val="20"/>
              </w:rPr>
              <w:t>Case-based learning</w:t>
            </w:r>
          </w:p>
          <w:p w14:paraId="566D3F8A" w14:textId="77777777" w:rsidR="008676AC" w:rsidRPr="00676303" w:rsidRDefault="008676AC" w:rsidP="005B2359">
            <w:pPr>
              <w:numPr>
                <w:ilvl w:val="0"/>
                <w:numId w:val="1"/>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theme="minorHAnsi"/>
                <w:color w:val="000000"/>
                <w:sz w:val="20"/>
                <w:szCs w:val="20"/>
                <w:lang w:val="en-US"/>
              </w:rPr>
              <w:t>Reflection on experience</w:t>
            </w:r>
            <w:r w:rsidRPr="00676303">
              <w:rPr>
                <w:rFonts w:asciiTheme="minorHAnsi" w:hAnsiTheme="minorHAnsi" w:cstheme="minorHAnsi"/>
                <w:iCs/>
                <w:sz w:val="20"/>
                <w:szCs w:val="20"/>
                <w:lang w:val="en-US"/>
              </w:rPr>
              <w:t xml:space="preserve"> </w:t>
            </w:r>
          </w:p>
          <w:p w14:paraId="382B8592" w14:textId="77777777" w:rsidR="008676AC" w:rsidRPr="00676303" w:rsidRDefault="008676AC" w:rsidP="005B2359">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Role play</w:t>
            </w:r>
          </w:p>
          <w:p w14:paraId="78B01637" w14:textId="77777777" w:rsidR="008676AC" w:rsidRPr="00676303" w:rsidRDefault="008676AC" w:rsidP="005B2359">
            <w:pPr>
              <w:numPr>
                <w:ilvl w:val="0"/>
                <w:numId w:val="1"/>
              </w:numPr>
              <w:spacing w:after="0" w:line="20" w:lineRule="atLeast"/>
              <w:contextualSpacing/>
              <w:rPr>
                <w:rFonts w:asciiTheme="minorHAnsi" w:hAnsiTheme="minorHAnsi" w:cstheme="minorHAnsi"/>
                <w:iCs/>
                <w:color w:val="000000"/>
                <w:sz w:val="20"/>
                <w:szCs w:val="20"/>
                <w:lang w:val="en-US"/>
              </w:rPr>
            </w:pPr>
            <w:r w:rsidRPr="00676303">
              <w:rPr>
                <w:rFonts w:asciiTheme="minorHAnsi" w:hAnsiTheme="minorHAnsi" w:cstheme="minorHAnsi"/>
                <w:iCs/>
                <w:color w:val="000000"/>
                <w:sz w:val="20"/>
                <w:szCs w:val="20"/>
                <w:lang w:val="en-US"/>
              </w:rPr>
              <w:t xml:space="preserve">Portfolio of learning  </w:t>
            </w:r>
          </w:p>
        </w:tc>
      </w:tr>
      <w:tr w:rsidR="008676AC" w:rsidRPr="00676303" w14:paraId="6114F507" w14:textId="77777777" w:rsidTr="005B2359">
        <w:tc>
          <w:tcPr>
            <w:tcW w:w="1413" w:type="dxa"/>
            <w:shd w:val="clear" w:color="auto" w:fill="D9E2F3" w:themeFill="accent1" w:themeFillTint="33"/>
          </w:tcPr>
          <w:p w14:paraId="44A71272"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Timing </w:t>
            </w:r>
          </w:p>
        </w:tc>
        <w:tc>
          <w:tcPr>
            <w:tcW w:w="7796" w:type="dxa"/>
            <w:shd w:val="clear" w:color="auto" w:fill="auto"/>
          </w:tcPr>
          <w:p w14:paraId="587B7AFA" w14:textId="77777777" w:rsidR="008676AC" w:rsidRPr="00676303" w:rsidRDefault="008676AC" w:rsidP="005B2359">
            <w:pPr>
              <w:spacing w:after="0" w:line="20" w:lineRule="atLeast"/>
              <w:rPr>
                <w:rFonts w:asciiTheme="minorHAnsi" w:hAnsiTheme="minorHAnsi" w:cstheme="minorHAnsi"/>
                <w:sz w:val="20"/>
                <w:szCs w:val="20"/>
                <w:lang w:val="en-US"/>
              </w:rPr>
            </w:pPr>
            <w:r w:rsidRPr="00676303">
              <w:rPr>
                <w:rFonts w:asciiTheme="minorHAnsi" w:hAnsiTheme="minorHAnsi" w:cstheme="minorHAnsi"/>
                <w:b/>
                <w:sz w:val="20"/>
                <w:szCs w:val="20"/>
                <w:lang w:val="en-US"/>
              </w:rPr>
              <w:t xml:space="preserve">E-learning / Distance Learning </w:t>
            </w:r>
            <w:r w:rsidRPr="00676303">
              <w:rPr>
                <w:rFonts w:asciiTheme="minorHAnsi" w:hAnsiTheme="minorHAnsi" w:cstheme="minorHAnsi"/>
                <w:sz w:val="20"/>
                <w:szCs w:val="20"/>
                <w:lang w:val="en-US"/>
              </w:rPr>
              <w:t xml:space="preserve">6 hours </w:t>
            </w:r>
          </w:p>
          <w:p w14:paraId="1429A150"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Seminar </w:t>
            </w:r>
            <w:r w:rsidRPr="00676303">
              <w:rPr>
                <w:rFonts w:asciiTheme="minorHAnsi" w:hAnsiTheme="minorHAnsi" w:cstheme="minorHAnsi"/>
                <w:sz w:val="20"/>
                <w:szCs w:val="20"/>
                <w:lang w:val="en-US"/>
              </w:rPr>
              <w:t>2 hours</w:t>
            </w:r>
          </w:p>
          <w:p w14:paraId="1C1E4166" w14:textId="17359607" w:rsidR="008676AC" w:rsidRPr="00676303" w:rsidRDefault="008676AC" w:rsidP="005B2359">
            <w:pPr>
              <w:pStyle w:val="Default"/>
              <w:numPr>
                <w:ilvl w:val="0"/>
                <w:numId w:val="1"/>
              </w:numPr>
              <w:spacing w:line="20" w:lineRule="atLeast"/>
              <w:rPr>
                <w:rFonts w:asciiTheme="minorHAnsi" w:hAnsiTheme="minorHAnsi"/>
                <w:sz w:val="20"/>
                <w:szCs w:val="20"/>
              </w:rPr>
            </w:pPr>
            <w:r w:rsidRPr="00676303">
              <w:rPr>
                <w:rFonts w:asciiTheme="minorHAnsi" w:hAnsiTheme="minorHAnsi" w:cstheme="minorHAnsi"/>
                <w:sz w:val="20"/>
                <w:szCs w:val="20"/>
              </w:rPr>
              <w:t xml:space="preserve">Case-based learning: </w:t>
            </w:r>
            <w:r w:rsidRPr="00676303">
              <w:rPr>
                <w:rFonts w:asciiTheme="minorHAnsi" w:hAnsiTheme="minorHAnsi" w:cstheme="minorHAnsi"/>
                <w:iCs/>
                <w:sz w:val="20"/>
                <w:szCs w:val="20"/>
              </w:rPr>
              <w:t xml:space="preserve">focus to manage uncomplicated symptoms associated with life-limiting conditions using guidelines or protocols of care. Work in pairs: on a given case </w:t>
            </w:r>
            <w:r w:rsidRPr="00676303">
              <w:rPr>
                <w:rFonts w:asciiTheme="minorHAnsi" w:hAnsiTheme="minorHAnsi" w:cstheme="minorHAnsi"/>
                <w:iCs/>
                <w:color w:val="auto"/>
                <w:sz w:val="20"/>
                <w:szCs w:val="20"/>
              </w:rPr>
              <w:t xml:space="preserve">each pair develops a management plan using given guidelines/algorithms 15 min of care and presents it to review to whole group demonstrating also how they will </w:t>
            </w:r>
            <w:r w:rsidRPr="00676303">
              <w:rPr>
                <w:rFonts w:asciiTheme="minorHAnsi" w:hAnsiTheme="minorHAnsi" w:cstheme="minorHAnsi"/>
                <w:iCs/>
                <w:sz w:val="20"/>
                <w:szCs w:val="20"/>
              </w:rPr>
              <w:t>provide education on their management plan to the patients</w:t>
            </w:r>
            <w:r w:rsidRPr="00676303">
              <w:rPr>
                <w:rFonts w:asciiTheme="minorHAnsi" w:hAnsiTheme="minorHAnsi" w:cstheme="minorHAnsi"/>
                <w:iCs/>
                <w:color w:val="auto"/>
                <w:sz w:val="20"/>
                <w:szCs w:val="20"/>
              </w:rPr>
              <w:t xml:space="preserve"> 75 min (15 X 5) – </w:t>
            </w:r>
            <w:r w:rsidRPr="00676303">
              <w:rPr>
                <w:rFonts w:asciiTheme="minorHAnsi" w:hAnsiTheme="minorHAnsi" w:cstheme="minorHAnsi"/>
                <w:b/>
                <w:iCs/>
                <w:color w:val="auto"/>
                <w:sz w:val="20"/>
                <w:szCs w:val="20"/>
              </w:rPr>
              <w:t>90 min</w:t>
            </w:r>
          </w:p>
          <w:p w14:paraId="03FECD41" w14:textId="311B8604" w:rsidR="008676AC" w:rsidRPr="00EE3E0C" w:rsidRDefault="008676AC" w:rsidP="00EE3E0C">
            <w:pPr>
              <w:numPr>
                <w:ilvl w:val="0"/>
                <w:numId w:val="1"/>
              </w:numPr>
              <w:autoSpaceDE w:val="0"/>
              <w:autoSpaceDN w:val="0"/>
              <w:adjustRightInd w:val="0"/>
              <w:spacing w:after="0" w:line="20" w:lineRule="atLeast"/>
              <w:contextualSpacing/>
              <w:rPr>
                <w:rFonts w:asciiTheme="minorHAnsi" w:eastAsiaTheme="minorHAnsi" w:hAnsiTheme="minorHAnsi" w:cstheme="minorHAnsi"/>
                <w:iCs/>
                <w:color w:val="000000"/>
                <w:sz w:val="20"/>
                <w:szCs w:val="20"/>
                <w:lang w:val="en-US"/>
              </w:rPr>
            </w:pPr>
            <w:r w:rsidRPr="00676303">
              <w:rPr>
                <w:rFonts w:asciiTheme="minorHAnsi" w:hAnsiTheme="minorHAnsi" w:cstheme="minorHAnsi"/>
                <w:color w:val="000000"/>
                <w:sz w:val="20"/>
                <w:szCs w:val="20"/>
                <w:lang w:val="en-US"/>
              </w:rPr>
              <w:t>Video with patients/ patient stories presenting impact of symptoms on their life and present management of the symptom – group reflection on impact of symptoms/</w:t>
            </w:r>
            <w:r w:rsidRPr="00676303">
              <w:rPr>
                <w:rFonts w:asciiTheme="minorHAnsi" w:eastAsiaTheme="minorHAnsi" w:hAnsiTheme="minorHAnsi" w:cstheme="minorHAnsi"/>
                <w:iCs/>
                <w:color w:val="000000"/>
                <w:sz w:val="20"/>
                <w:szCs w:val="20"/>
                <w:lang w:val="en-US"/>
              </w:rPr>
              <w:t xml:space="preserve"> limits of pharmacotherapy in relieving all/every symptom – and the doctors continued role in patient suppor</w:t>
            </w:r>
            <w:r w:rsidR="00EE3E0C">
              <w:rPr>
                <w:rFonts w:asciiTheme="minorHAnsi" w:eastAsiaTheme="minorHAnsi" w:hAnsiTheme="minorHAnsi" w:cstheme="minorHAnsi"/>
                <w:iCs/>
                <w:color w:val="000000"/>
                <w:sz w:val="20"/>
                <w:szCs w:val="20"/>
                <w:lang w:val="en-US"/>
              </w:rPr>
              <w:t>t -</w:t>
            </w:r>
            <w:bookmarkStart w:id="2" w:name="_GoBack"/>
            <w:bookmarkEnd w:id="2"/>
            <w:r w:rsidRPr="00676303">
              <w:rPr>
                <w:rFonts w:asciiTheme="minorHAnsi" w:eastAsiaTheme="minorHAnsi" w:hAnsiTheme="minorHAnsi" w:cstheme="minorHAnsi"/>
                <w:b/>
                <w:iCs/>
                <w:color w:val="000000"/>
                <w:sz w:val="20"/>
                <w:szCs w:val="20"/>
                <w:lang w:val="en-US"/>
              </w:rPr>
              <w:t>30 min</w:t>
            </w:r>
            <w:r w:rsidRPr="00676303">
              <w:rPr>
                <w:rFonts w:asciiTheme="minorHAnsi" w:eastAsiaTheme="minorHAnsi" w:hAnsiTheme="minorHAnsi" w:cstheme="minorHAnsi"/>
                <w:iCs/>
                <w:color w:val="000000"/>
                <w:sz w:val="20"/>
                <w:szCs w:val="20"/>
                <w:lang w:val="en-US"/>
              </w:rPr>
              <w:t xml:space="preserve">     </w:t>
            </w:r>
          </w:p>
        </w:tc>
      </w:tr>
      <w:tr w:rsidR="008676AC" w:rsidRPr="00676303" w14:paraId="4688AA87" w14:textId="77777777" w:rsidTr="005B2359">
        <w:tc>
          <w:tcPr>
            <w:tcW w:w="1413" w:type="dxa"/>
            <w:shd w:val="clear" w:color="auto" w:fill="D9E2F3" w:themeFill="accent1" w:themeFillTint="33"/>
          </w:tcPr>
          <w:p w14:paraId="7C08F324" w14:textId="77777777" w:rsidR="008676AC" w:rsidRPr="00676303" w:rsidRDefault="008676AC"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Bibliography/Resources </w:t>
            </w:r>
          </w:p>
        </w:tc>
        <w:tc>
          <w:tcPr>
            <w:tcW w:w="7796" w:type="dxa"/>
            <w:shd w:val="clear" w:color="auto" w:fill="auto"/>
          </w:tcPr>
          <w:p w14:paraId="7E64B7F7" w14:textId="77777777" w:rsidR="008676AC" w:rsidRPr="00676303" w:rsidRDefault="008676AC" w:rsidP="005B2359">
            <w:pPr>
              <w:pStyle w:val="ListParagraph"/>
              <w:numPr>
                <w:ilvl w:val="0"/>
                <w:numId w:val="2"/>
              </w:numPr>
              <w:autoSpaceDE w:val="0"/>
              <w:autoSpaceDN w:val="0"/>
              <w:adjustRightInd w:val="0"/>
              <w:spacing w:after="0" w:line="20" w:lineRule="atLeast"/>
              <w:rPr>
                <w:rFonts w:asciiTheme="minorHAnsi" w:hAnsiTheme="minorHAnsi" w:cs="Segoe UI"/>
                <w:sz w:val="20"/>
                <w:szCs w:val="20"/>
                <w:shd w:val="clear" w:color="auto" w:fill="FFFFFF"/>
                <w:lang w:val="en-US"/>
              </w:rPr>
            </w:pPr>
            <w:proofErr w:type="spellStart"/>
            <w:r w:rsidRPr="00676303">
              <w:rPr>
                <w:rFonts w:asciiTheme="minorHAnsi" w:hAnsiTheme="minorHAnsi" w:cs="Segoe UI"/>
                <w:sz w:val="20"/>
                <w:szCs w:val="20"/>
                <w:shd w:val="clear" w:color="auto" w:fill="FFFFFF"/>
                <w:lang w:val="en-US"/>
              </w:rPr>
              <w:t>Cherny</w:t>
            </w:r>
            <w:proofErr w:type="spellEnd"/>
            <w:r w:rsidRPr="00676303">
              <w:rPr>
                <w:rFonts w:asciiTheme="minorHAnsi" w:hAnsiTheme="minorHAnsi" w:cs="Segoe UI"/>
                <w:sz w:val="20"/>
                <w:szCs w:val="20"/>
                <w:shd w:val="clear" w:color="auto" w:fill="FFFFFF"/>
                <w:lang w:val="en-US"/>
              </w:rPr>
              <w:t>, Nathan I., and Nicholas A. Christakis. Oxford textbook of palliative medicine. Oxford university press, 2011</w:t>
            </w:r>
          </w:p>
          <w:p w14:paraId="78F283BA" w14:textId="77777777" w:rsidR="008676AC" w:rsidRPr="00676303" w:rsidRDefault="008676AC" w:rsidP="005B2359">
            <w:pPr>
              <w:pStyle w:val="ListParagraph"/>
              <w:numPr>
                <w:ilvl w:val="0"/>
                <w:numId w:val="2"/>
              </w:numPr>
              <w:autoSpaceDE w:val="0"/>
              <w:autoSpaceDN w:val="0"/>
              <w:adjustRightInd w:val="0"/>
              <w:spacing w:after="0" w:line="20" w:lineRule="atLeast"/>
              <w:rPr>
                <w:rFonts w:asciiTheme="minorHAnsi" w:hAnsiTheme="minorHAnsi" w:cs="Segoe UI"/>
                <w:sz w:val="20"/>
                <w:szCs w:val="20"/>
                <w:shd w:val="clear" w:color="auto" w:fill="FFFFFF"/>
                <w:lang w:val="en-US"/>
              </w:rPr>
            </w:pPr>
            <w:r w:rsidRPr="00676303">
              <w:rPr>
                <w:rFonts w:asciiTheme="minorHAnsi" w:hAnsiTheme="minorHAnsi" w:cs="Segoe UI"/>
                <w:sz w:val="20"/>
                <w:szCs w:val="20"/>
                <w:shd w:val="clear" w:color="auto" w:fill="FFFFFF"/>
                <w:lang w:val="en-US"/>
              </w:rPr>
              <w:lastRenderedPageBreak/>
              <w:t xml:space="preserve">Shah, Vishal, and </w:t>
            </w:r>
            <w:proofErr w:type="spellStart"/>
            <w:r w:rsidRPr="00676303">
              <w:rPr>
                <w:rFonts w:asciiTheme="minorHAnsi" w:hAnsiTheme="minorHAnsi" w:cs="Segoe UI"/>
                <w:sz w:val="20"/>
                <w:szCs w:val="20"/>
                <w:shd w:val="clear" w:color="auto" w:fill="FFFFFF"/>
                <w:lang w:val="en-US"/>
              </w:rPr>
              <w:t>Sachil</w:t>
            </w:r>
            <w:proofErr w:type="spellEnd"/>
            <w:r w:rsidRPr="00676303">
              <w:rPr>
                <w:rFonts w:asciiTheme="minorHAnsi" w:hAnsiTheme="minorHAnsi" w:cs="Segoe UI"/>
                <w:sz w:val="20"/>
                <w:szCs w:val="20"/>
                <w:shd w:val="clear" w:color="auto" w:fill="FFFFFF"/>
                <w:lang w:val="en-US"/>
              </w:rPr>
              <w:t xml:space="preserve"> Shah. "Management of Gastrointestinal Symptoms in Palliative Care." InnovAiT (2010).</w:t>
            </w:r>
          </w:p>
          <w:p w14:paraId="0AB4604C" w14:textId="77777777" w:rsidR="008676AC" w:rsidRPr="00676303" w:rsidRDefault="008676AC"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sz w:val="20"/>
                <w:szCs w:val="20"/>
                <w:lang w:val="en-US"/>
              </w:rPr>
            </w:pPr>
            <w:r w:rsidRPr="00676303">
              <w:rPr>
                <w:rFonts w:asciiTheme="minorHAnsi" w:hAnsiTheme="minorHAnsi" w:cs="Segoe UI"/>
                <w:sz w:val="20"/>
                <w:szCs w:val="20"/>
                <w:shd w:val="clear" w:color="auto" w:fill="FFFFFF"/>
                <w:lang w:val="en-US"/>
              </w:rPr>
              <w:t>North of England Cancer Network. (2016). Palliative and end of life care guidelines for</w:t>
            </w:r>
            <w:r w:rsidRPr="00676303">
              <w:rPr>
                <w:rFonts w:asciiTheme="minorHAnsi" w:hAnsiTheme="minorHAnsi" w:cs="Segoe UI"/>
                <w:sz w:val="20"/>
                <w:szCs w:val="20"/>
                <w:lang w:val="en-US"/>
              </w:rPr>
              <w:t xml:space="preserve"> </w:t>
            </w:r>
            <w:r w:rsidRPr="00676303">
              <w:rPr>
                <w:rFonts w:asciiTheme="minorHAnsi" w:hAnsiTheme="minorHAnsi" w:cs="Segoe UI"/>
                <w:sz w:val="20"/>
                <w:szCs w:val="20"/>
                <w:shd w:val="clear" w:color="auto" w:fill="FFFFFF"/>
                <w:lang w:val="en-US"/>
              </w:rPr>
              <w:t>cancer and non-cancer patients, 1 –33.</w:t>
            </w:r>
            <w:r w:rsidRPr="00676303">
              <w:rPr>
                <w:rFonts w:asciiTheme="minorHAnsi" w:hAnsiTheme="minorHAnsi" w:cs="Segoe UI"/>
                <w:sz w:val="20"/>
                <w:szCs w:val="20"/>
                <w:lang w:val="en-US"/>
              </w:rPr>
              <w:br/>
            </w:r>
            <w:r w:rsidRPr="00676303">
              <w:rPr>
                <w:rFonts w:asciiTheme="minorHAnsi" w:hAnsiTheme="minorHAnsi" w:cs="Segoe UI"/>
                <w:sz w:val="20"/>
                <w:szCs w:val="20"/>
                <w:shd w:val="clear" w:color="auto" w:fill="FFFFFF"/>
                <w:lang w:val="en-US"/>
              </w:rPr>
              <w:t xml:space="preserve">Retrieved from </w:t>
            </w:r>
            <w:hyperlink r:id="rId6" w:history="1">
              <w:r w:rsidRPr="00676303">
                <w:rPr>
                  <w:rStyle w:val="Hyperlink"/>
                  <w:rFonts w:asciiTheme="minorHAnsi" w:hAnsiTheme="minorHAnsi" w:cs="Segoe UI"/>
                  <w:sz w:val="20"/>
                  <w:szCs w:val="20"/>
                  <w:shd w:val="clear" w:color="auto" w:fill="FFFFFF"/>
                  <w:lang w:val="en-US"/>
                </w:rPr>
                <w:t>http://www.necn.nhs.uk/wp-content/uploads/2016/09/NECNXPALLIATIVEXCAREX2016.pdf</w:t>
              </w:r>
            </w:hyperlink>
            <w:r w:rsidRPr="00676303">
              <w:rPr>
                <w:rFonts w:asciiTheme="minorHAnsi" w:hAnsiTheme="minorHAnsi" w:cs="Segoe UI"/>
                <w:sz w:val="20"/>
                <w:szCs w:val="20"/>
                <w:shd w:val="clear" w:color="auto" w:fill="FFFFFF"/>
                <w:lang w:val="en-US"/>
              </w:rPr>
              <w:t xml:space="preserve"> </w:t>
            </w:r>
            <w:r w:rsidRPr="00676303">
              <w:rPr>
                <w:rFonts w:asciiTheme="minorHAnsi" w:hAnsiTheme="minorHAnsi" w:cstheme="minorHAnsi"/>
                <w:color w:val="000000"/>
                <w:sz w:val="20"/>
                <w:szCs w:val="20"/>
                <w:lang w:val="en-US"/>
              </w:rPr>
              <w:t xml:space="preserve"> </w:t>
            </w:r>
          </w:p>
          <w:p w14:paraId="44DF0279" w14:textId="77777777" w:rsidR="008676AC" w:rsidRPr="00676303" w:rsidRDefault="00EE3E0C"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sz w:val="20"/>
                <w:szCs w:val="20"/>
                <w:lang w:val="en-US"/>
              </w:rPr>
            </w:pPr>
            <w:hyperlink r:id="rId7" w:history="1">
              <w:r w:rsidR="008676AC" w:rsidRPr="00676303">
                <w:rPr>
                  <w:rStyle w:val="Hyperlink"/>
                  <w:rFonts w:asciiTheme="minorHAnsi" w:hAnsiTheme="minorHAnsi" w:cstheme="minorHAnsi"/>
                  <w:sz w:val="20"/>
                  <w:szCs w:val="20"/>
                  <w:lang w:val="en-US"/>
                </w:rPr>
                <w:t>https://www.nwcscnsenate.nhs.uk/files/5714/1503/5225/Guidelines_for_the_Medical_Management_of_Malignant_Bowel_Obstruction_Presentation_Draft_1.pdf?PDFPATHWAY=PDF</w:t>
              </w:r>
            </w:hyperlink>
          </w:p>
          <w:p w14:paraId="3A6EC502" w14:textId="77777777" w:rsidR="008676AC" w:rsidRPr="00676303" w:rsidRDefault="00EE3E0C" w:rsidP="005B2359">
            <w:pPr>
              <w:pStyle w:val="ListParagraph"/>
              <w:numPr>
                <w:ilvl w:val="0"/>
                <w:numId w:val="2"/>
              </w:numPr>
              <w:autoSpaceDE w:val="0"/>
              <w:autoSpaceDN w:val="0"/>
              <w:adjustRightInd w:val="0"/>
              <w:spacing w:after="0" w:line="20" w:lineRule="atLeast"/>
              <w:rPr>
                <w:rFonts w:asciiTheme="minorHAnsi" w:hAnsiTheme="minorHAnsi" w:cstheme="minorHAnsi"/>
                <w:color w:val="000000"/>
                <w:sz w:val="20"/>
                <w:szCs w:val="20"/>
                <w:lang w:val="en-US"/>
              </w:rPr>
            </w:pPr>
            <w:hyperlink r:id="rId8" w:history="1">
              <w:r w:rsidR="008676AC" w:rsidRPr="00676303">
                <w:rPr>
                  <w:rStyle w:val="Hyperlink"/>
                  <w:rFonts w:asciiTheme="minorHAnsi" w:hAnsiTheme="minorHAnsi" w:cs="Segoe UI"/>
                  <w:sz w:val="20"/>
                  <w:szCs w:val="20"/>
                  <w:shd w:val="clear" w:color="auto" w:fill="FFFFFF"/>
                  <w:lang w:val="en-US"/>
                </w:rPr>
                <w:t>https://learningplatform.thepalliativehub.com/course/view.php?id=25</w:t>
              </w:r>
            </w:hyperlink>
          </w:p>
        </w:tc>
      </w:tr>
    </w:tbl>
    <w:p w14:paraId="5F745CC8"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79A9"/>
    <w:multiLevelType w:val="hybridMultilevel"/>
    <w:tmpl w:val="439401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E4490E"/>
    <w:multiLevelType w:val="hybridMultilevel"/>
    <w:tmpl w:val="BE32F622"/>
    <w:lvl w:ilvl="0" w:tplc="1EDE80EC">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0A17922"/>
    <w:multiLevelType w:val="hybridMultilevel"/>
    <w:tmpl w:val="DE0E7EE0"/>
    <w:lvl w:ilvl="0" w:tplc="1EDE80E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BA26310"/>
    <w:multiLevelType w:val="hybridMultilevel"/>
    <w:tmpl w:val="3BE4E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5F812EA7"/>
    <w:multiLevelType w:val="hybridMultilevel"/>
    <w:tmpl w:val="DE9A3F1A"/>
    <w:lvl w:ilvl="0" w:tplc="1EDE80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6AC"/>
    <w:rsid w:val="00510040"/>
    <w:rsid w:val="006F184C"/>
    <w:rsid w:val="008676AC"/>
    <w:rsid w:val="00EE3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89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6AC"/>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676AC"/>
    <w:pPr>
      <w:autoSpaceDE w:val="0"/>
      <w:autoSpaceDN w:val="0"/>
      <w:adjustRightInd w:val="0"/>
      <w:spacing w:after="0" w:line="240" w:lineRule="auto"/>
    </w:pPr>
    <w:rPr>
      <w:rFonts w:ascii="Symbol" w:eastAsia="Calibri" w:hAnsi="Symbol" w:cs="Symbol"/>
      <w:color w:val="000000"/>
      <w:sz w:val="24"/>
      <w:szCs w:val="24"/>
    </w:rPr>
  </w:style>
  <w:style w:type="paragraph" w:styleId="ListParagraph">
    <w:name w:val="List Paragraph"/>
    <w:basedOn w:val="Normal"/>
    <w:uiPriority w:val="34"/>
    <w:qFormat/>
    <w:rsid w:val="008676AC"/>
    <w:pPr>
      <w:spacing w:after="200" w:line="276" w:lineRule="auto"/>
      <w:ind w:left="720"/>
      <w:contextualSpacing/>
    </w:pPr>
    <w:rPr>
      <w:lang w:val="ro-RO"/>
    </w:rPr>
  </w:style>
  <w:style w:type="character" w:styleId="Hyperlink">
    <w:name w:val="Hyperlink"/>
    <w:basedOn w:val="DefaultParagraphFont"/>
    <w:uiPriority w:val="99"/>
    <w:unhideWhenUsed/>
    <w:rsid w:val="008676A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6AC"/>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676AC"/>
    <w:pPr>
      <w:autoSpaceDE w:val="0"/>
      <w:autoSpaceDN w:val="0"/>
      <w:adjustRightInd w:val="0"/>
      <w:spacing w:after="0" w:line="240" w:lineRule="auto"/>
    </w:pPr>
    <w:rPr>
      <w:rFonts w:ascii="Symbol" w:eastAsia="Calibri" w:hAnsi="Symbol" w:cs="Symbol"/>
      <w:color w:val="000000"/>
      <w:sz w:val="24"/>
      <w:szCs w:val="24"/>
    </w:rPr>
  </w:style>
  <w:style w:type="paragraph" w:styleId="ListParagraph">
    <w:name w:val="List Paragraph"/>
    <w:basedOn w:val="Normal"/>
    <w:uiPriority w:val="34"/>
    <w:qFormat/>
    <w:rsid w:val="008676AC"/>
    <w:pPr>
      <w:spacing w:after="200" w:line="276" w:lineRule="auto"/>
      <w:ind w:left="720"/>
      <w:contextualSpacing/>
    </w:pPr>
    <w:rPr>
      <w:lang w:val="ro-RO"/>
    </w:rPr>
  </w:style>
  <w:style w:type="character" w:styleId="Hyperlink">
    <w:name w:val="Hyperlink"/>
    <w:basedOn w:val="DefaultParagraphFont"/>
    <w:uiPriority w:val="99"/>
    <w:unhideWhenUsed/>
    <w:rsid w:val="008676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ingplatform.thepalliativehub.com/course/view.php?id=25" TargetMode="External"/><Relationship Id="rId3" Type="http://schemas.microsoft.com/office/2007/relationships/stylesWithEffects" Target="stylesWithEffects.xml"/><Relationship Id="rId7" Type="http://schemas.openxmlformats.org/officeDocument/2006/relationships/hyperlink" Target="https://www.nwcscnsenate.nhs.uk/files/5714/1503/5225/Guidelines_for_the_Medical_Management_of_Malignant_Bowel_Obstruction_Presentation_Draft_1.pdf?PDFPATHWA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cn.nhs.uk/wp-content/uploads/2016/09/NECNXPALLIATIVEXCAREX2016.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574</Words>
  <Characters>3278</Characters>
  <Application>Microsoft Office Word</Application>
  <DocSecurity>0</DocSecurity>
  <Lines>27</Lines>
  <Paragraphs>7</Paragraphs>
  <ScaleCrop>false</ScaleCrop>
  <Company/>
  <LinksUpToDate>false</LinksUpToDate>
  <CharactersWithSpaces>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3</cp:revision>
  <dcterms:created xsi:type="dcterms:W3CDTF">2020-02-17T10:30:00Z</dcterms:created>
  <dcterms:modified xsi:type="dcterms:W3CDTF">2020-02-19T14:14:00Z</dcterms:modified>
</cp:coreProperties>
</file>