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513"/>
      </w:tblGrid>
      <w:tr w:rsidR="001C5DDD" w:rsidRPr="00676303" w14:paraId="1FBD5635" w14:textId="77777777" w:rsidTr="005B2359">
        <w:tc>
          <w:tcPr>
            <w:tcW w:w="9209" w:type="dxa"/>
            <w:gridSpan w:val="2"/>
            <w:shd w:val="clear" w:color="auto" w:fill="D9E2F3" w:themeFill="accent1" w:themeFillTint="33"/>
          </w:tcPr>
          <w:p w14:paraId="1FCD3D82" w14:textId="77777777" w:rsidR="001C5DDD" w:rsidRPr="00676303" w:rsidRDefault="001C5DDD" w:rsidP="005B2359">
            <w:pPr>
              <w:spacing w:after="0" w:line="20" w:lineRule="atLeast"/>
              <w:jc w:val="center"/>
              <w:rPr>
                <w:rFonts w:asciiTheme="minorHAnsi" w:hAnsiTheme="minorHAnsi" w:cstheme="minorHAnsi"/>
                <w:b/>
                <w:i/>
                <w:color w:val="000000" w:themeColor="text1"/>
                <w:sz w:val="20"/>
                <w:szCs w:val="20"/>
                <w:highlight w:val="yellow"/>
                <w:lang w:val="en-US"/>
              </w:rPr>
            </w:pPr>
            <w:r w:rsidRPr="00676303">
              <w:rPr>
                <w:rFonts w:asciiTheme="minorHAnsi" w:hAnsiTheme="minorHAnsi" w:cstheme="minorHAnsi"/>
                <w:b/>
                <w:i/>
                <w:color w:val="000000" w:themeColor="text1"/>
                <w:sz w:val="20"/>
                <w:szCs w:val="20"/>
                <w:lang w:val="en-US"/>
              </w:rPr>
              <w:t xml:space="preserve">Lesson Plan </w:t>
            </w:r>
          </w:p>
        </w:tc>
      </w:tr>
      <w:tr w:rsidR="001C5DDD" w:rsidRPr="00676303" w14:paraId="58CA4E0F" w14:textId="77777777" w:rsidTr="005B2359">
        <w:tc>
          <w:tcPr>
            <w:tcW w:w="1696" w:type="dxa"/>
            <w:shd w:val="clear" w:color="auto" w:fill="D9E2F3" w:themeFill="accent1" w:themeFillTint="33"/>
          </w:tcPr>
          <w:p w14:paraId="3DA0E8A6" w14:textId="77777777" w:rsidR="001C5DDD" w:rsidRPr="00676303" w:rsidRDefault="001C5DDD" w:rsidP="005B2359">
            <w:pPr>
              <w:spacing w:after="0" w:line="20" w:lineRule="atLeast"/>
              <w:rPr>
                <w:rFonts w:asciiTheme="minorHAnsi" w:hAnsiTheme="minorHAnsi" w:cstheme="minorHAnsi"/>
                <w:b/>
                <w:color w:val="000000" w:themeColor="text1"/>
                <w:sz w:val="20"/>
                <w:szCs w:val="20"/>
                <w:highlight w:val="yellow"/>
                <w:lang w:val="en-US"/>
              </w:rPr>
            </w:pPr>
            <w:r w:rsidRPr="00676303">
              <w:rPr>
                <w:rFonts w:asciiTheme="minorHAnsi" w:hAnsiTheme="minorHAnsi" w:cstheme="minorHAnsi"/>
                <w:b/>
                <w:color w:val="000000" w:themeColor="text1"/>
                <w:sz w:val="20"/>
                <w:szCs w:val="20"/>
                <w:lang w:val="en-US"/>
              </w:rPr>
              <w:t>Teaching Unit</w:t>
            </w:r>
          </w:p>
        </w:tc>
        <w:tc>
          <w:tcPr>
            <w:tcW w:w="7513" w:type="dxa"/>
            <w:shd w:val="clear" w:color="auto" w:fill="auto"/>
          </w:tcPr>
          <w:p w14:paraId="610A0763" w14:textId="34FE3754" w:rsidR="001C5DDD" w:rsidRPr="00676303" w:rsidRDefault="001C5DDD" w:rsidP="005B2359">
            <w:pPr>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Ethical &amp;Legal Issues </w:t>
            </w:r>
          </w:p>
        </w:tc>
      </w:tr>
      <w:tr w:rsidR="001C5DDD" w:rsidRPr="00676303" w14:paraId="7F77D5BB" w14:textId="77777777" w:rsidTr="005B2359">
        <w:tc>
          <w:tcPr>
            <w:tcW w:w="1696" w:type="dxa"/>
            <w:shd w:val="clear" w:color="auto" w:fill="D9E2F3" w:themeFill="accent1" w:themeFillTint="33"/>
          </w:tcPr>
          <w:p w14:paraId="64218145"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Title</w:t>
            </w:r>
          </w:p>
        </w:tc>
        <w:tc>
          <w:tcPr>
            <w:tcW w:w="7513" w:type="dxa"/>
            <w:shd w:val="clear" w:color="auto" w:fill="auto"/>
          </w:tcPr>
          <w:p w14:paraId="74691C83"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Advance care planning</w:t>
            </w:r>
          </w:p>
        </w:tc>
      </w:tr>
      <w:tr w:rsidR="001C5DDD" w:rsidRPr="00676303" w14:paraId="3BFBE5A3" w14:textId="77777777" w:rsidTr="005B2359">
        <w:tc>
          <w:tcPr>
            <w:tcW w:w="1696" w:type="dxa"/>
            <w:shd w:val="clear" w:color="auto" w:fill="D9E2F3" w:themeFill="accent1" w:themeFillTint="33"/>
          </w:tcPr>
          <w:p w14:paraId="334F68C9" w14:textId="77777777" w:rsidR="001C5DDD" w:rsidRPr="00676303" w:rsidRDefault="001C5DDD" w:rsidP="005B2359">
            <w:pPr>
              <w:spacing w:after="0" w:line="20" w:lineRule="atLeast"/>
              <w:rPr>
                <w:rFonts w:asciiTheme="minorHAnsi" w:hAnsiTheme="minorHAnsi" w:cstheme="minorHAnsi"/>
                <w:b/>
                <w:color w:val="000000" w:themeColor="text1"/>
                <w:sz w:val="20"/>
                <w:szCs w:val="20"/>
                <w:highlight w:val="yellow"/>
                <w:lang w:val="en-US"/>
              </w:rPr>
            </w:pPr>
            <w:r w:rsidRPr="00676303">
              <w:rPr>
                <w:rFonts w:asciiTheme="minorHAnsi" w:hAnsiTheme="minorHAnsi" w:cstheme="minorHAnsi"/>
                <w:b/>
                <w:color w:val="000000" w:themeColor="text1"/>
                <w:sz w:val="20"/>
                <w:szCs w:val="20"/>
                <w:lang w:val="en-US"/>
              </w:rPr>
              <w:t>Learning Outcome</w:t>
            </w:r>
          </w:p>
        </w:tc>
        <w:tc>
          <w:tcPr>
            <w:tcW w:w="7513" w:type="dxa"/>
            <w:shd w:val="clear" w:color="auto" w:fill="auto"/>
          </w:tcPr>
          <w:p w14:paraId="5A7E57D1" w14:textId="4B4886E2" w:rsidR="001C5DDD" w:rsidRPr="00676303" w:rsidRDefault="001C5DDD" w:rsidP="00F014D9">
            <w:pPr>
              <w:spacing w:after="0" w:line="20" w:lineRule="atLeast"/>
              <w:jc w:val="both"/>
              <w:rPr>
                <w:rFonts w:asciiTheme="minorHAnsi" w:hAnsiTheme="minorHAnsi" w:cstheme="minorHAnsi"/>
                <w:color w:val="000000" w:themeColor="text1"/>
                <w:sz w:val="20"/>
                <w:szCs w:val="20"/>
                <w:lang w:val="en-US"/>
              </w:rPr>
            </w:pPr>
            <w:r w:rsidRPr="00676303">
              <w:rPr>
                <w:rFonts w:asciiTheme="minorHAnsi" w:eastAsia="Times New Roman" w:hAnsiTheme="minorHAnsi" w:cstheme="minorHAnsi"/>
                <w:bCs/>
                <w:color w:val="000000" w:themeColor="text1"/>
                <w:sz w:val="20"/>
                <w:szCs w:val="20"/>
                <w:lang w:val="en-US" w:eastAsia="en-GB"/>
              </w:rPr>
              <w:t>Describe the importance of advance care planning as a modality to prevent unwanted and futile treatment</w:t>
            </w:r>
            <w:r w:rsidRPr="00676303">
              <w:rPr>
                <w:rFonts w:asciiTheme="minorHAnsi" w:hAnsiTheme="minorHAnsi" w:cstheme="minorHAnsi"/>
                <w:color w:val="000000" w:themeColor="text1"/>
                <w:sz w:val="20"/>
                <w:szCs w:val="20"/>
                <w:lang w:val="en-US"/>
              </w:rPr>
              <w:t xml:space="preserve">  </w:t>
            </w:r>
          </w:p>
        </w:tc>
      </w:tr>
      <w:tr w:rsidR="001C5DDD" w:rsidRPr="00676303" w14:paraId="2B350CBE" w14:textId="77777777" w:rsidTr="005B2359">
        <w:tc>
          <w:tcPr>
            <w:tcW w:w="1696" w:type="dxa"/>
            <w:shd w:val="clear" w:color="auto" w:fill="D9E2F3" w:themeFill="accent1" w:themeFillTint="33"/>
          </w:tcPr>
          <w:p w14:paraId="49A56998" w14:textId="77777777" w:rsidR="001C5DDD" w:rsidRPr="00676303" w:rsidRDefault="001C5DDD" w:rsidP="005B2359">
            <w:pPr>
              <w:spacing w:after="0" w:line="20" w:lineRule="atLeast"/>
              <w:rPr>
                <w:rFonts w:asciiTheme="minorHAnsi" w:hAnsiTheme="minorHAnsi" w:cstheme="minorHAnsi"/>
                <w:b/>
                <w:color w:val="000000" w:themeColor="text1"/>
                <w:sz w:val="20"/>
                <w:szCs w:val="20"/>
                <w:highlight w:val="yellow"/>
                <w:lang w:val="en-US"/>
              </w:rPr>
            </w:pPr>
            <w:r w:rsidRPr="00676303">
              <w:rPr>
                <w:rFonts w:asciiTheme="minorHAnsi" w:hAnsiTheme="minorHAnsi" w:cstheme="minorHAnsi"/>
                <w:b/>
                <w:color w:val="000000" w:themeColor="text1"/>
                <w:sz w:val="20"/>
                <w:szCs w:val="20"/>
                <w:lang w:val="en-US"/>
              </w:rPr>
              <w:t xml:space="preserve">Summary </w:t>
            </w:r>
          </w:p>
        </w:tc>
        <w:tc>
          <w:tcPr>
            <w:tcW w:w="7513" w:type="dxa"/>
            <w:shd w:val="clear" w:color="auto" w:fill="auto"/>
          </w:tcPr>
          <w:p w14:paraId="69D0BBB7" w14:textId="41B743D3" w:rsidR="001C5DDD" w:rsidRPr="00676303" w:rsidRDefault="001C5DDD" w:rsidP="005B2359">
            <w:p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The Advance Care Planning process needs professionals able to support patients which need palliative care in order to accept their progressive illness, the necessity of medical care and to support them in the process of treatment, based by their personal values, life goals and preferences.</w:t>
            </w:r>
          </w:p>
          <w:p w14:paraId="07BE50F9" w14:textId="77777777" w:rsidR="001C5DDD" w:rsidRPr="00676303" w:rsidRDefault="001C5DDD" w:rsidP="005B2359">
            <w:pPr>
              <w:spacing w:after="0" w:line="20" w:lineRule="atLeast"/>
              <w:jc w:val="both"/>
              <w:rPr>
                <w:rFonts w:asciiTheme="minorHAnsi" w:hAnsiTheme="minorHAnsi" w:cstheme="minorHAnsi"/>
                <w:color w:val="000000" w:themeColor="text1"/>
                <w:sz w:val="20"/>
                <w:szCs w:val="20"/>
                <w:highlight w:val="yellow"/>
                <w:lang w:val="en-US"/>
              </w:rPr>
            </w:pPr>
            <w:r w:rsidRPr="00676303">
              <w:rPr>
                <w:rFonts w:asciiTheme="minorHAnsi" w:hAnsiTheme="minorHAnsi" w:cstheme="minorHAnsi"/>
                <w:color w:val="000000" w:themeColor="text1"/>
                <w:sz w:val="20"/>
                <w:szCs w:val="20"/>
                <w:lang w:val="en-US"/>
              </w:rPr>
              <w:t>The main objectives of this teaching unit is to help future doctors to plan care in advanced in palliative care patients using a 5 steps model (a1) identify and understand the ethical problems like current and future patient decision (a2) identify the family values and capability to take decision when patient is not able to do it (a3) identify the role of different health care providers to be involved in the process pf decision in ACP (b) evaluate the clinical outcomes and prepare the patient and the relatives for different stage of evolution of illnesses (c) document the patients preferences and disseminate their choice according with the patient wish (d) Surrogate decision makers (e) evaluate the risk factors and the solution of ACP</w:t>
            </w:r>
          </w:p>
        </w:tc>
      </w:tr>
      <w:tr w:rsidR="001C5DDD" w:rsidRPr="00676303" w14:paraId="522D0EBB" w14:textId="77777777" w:rsidTr="005B2359">
        <w:tc>
          <w:tcPr>
            <w:tcW w:w="1696" w:type="dxa"/>
            <w:shd w:val="clear" w:color="auto" w:fill="D9E2F3" w:themeFill="accent1" w:themeFillTint="33"/>
          </w:tcPr>
          <w:p w14:paraId="2D3695EA"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Learning Objectives</w:t>
            </w:r>
          </w:p>
          <w:p w14:paraId="2221F106"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p>
          <w:p w14:paraId="0B2843CE"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 xml:space="preserve">C- Cognition  </w:t>
            </w:r>
          </w:p>
          <w:p w14:paraId="22BDFA66"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S – Skills</w:t>
            </w:r>
          </w:p>
          <w:p w14:paraId="6D3BD63F"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A – Attitudes</w:t>
            </w:r>
          </w:p>
          <w:p w14:paraId="2B971BC2" w14:textId="77777777" w:rsidR="001C5DDD" w:rsidRPr="00676303" w:rsidRDefault="001C5DDD" w:rsidP="005B2359">
            <w:pPr>
              <w:spacing w:after="0" w:line="20" w:lineRule="atLeast"/>
              <w:rPr>
                <w:rFonts w:asciiTheme="minorHAnsi" w:hAnsiTheme="minorHAnsi" w:cstheme="minorHAnsi"/>
                <w:b/>
                <w:color w:val="000000" w:themeColor="text1"/>
                <w:sz w:val="20"/>
                <w:szCs w:val="20"/>
                <w:highlight w:val="yellow"/>
                <w:lang w:val="en-US"/>
              </w:rPr>
            </w:pPr>
          </w:p>
        </w:tc>
        <w:tc>
          <w:tcPr>
            <w:tcW w:w="7513" w:type="dxa"/>
            <w:shd w:val="clear" w:color="auto" w:fill="auto"/>
          </w:tcPr>
          <w:p w14:paraId="5F10B877"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C- Cognition</w:t>
            </w:r>
          </w:p>
          <w:p w14:paraId="1F81A904" w14:textId="77777777" w:rsidR="001C5DDD" w:rsidRPr="00676303" w:rsidRDefault="001C5DDD" w:rsidP="005B2359">
            <w:pPr>
              <w:pStyle w:val="ListParagraph"/>
              <w:numPr>
                <w:ilvl w:val="0"/>
                <w:numId w:val="4"/>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defines advance care planning and explain its importance</w:t>
            </w:r>
          </w:p>
          <w:p w14:paraId="4C3DB4A0" w14:textId="77777777" w:rsidR="001C5DDD" w:rsidRPr="00676303" w:rsidRDefault="001C5DDD" w:rsidP="005B2359">
            <w:pPr>
              <w:pStyle w:val="ListParagraph"/>
              <w:numPr>
                <w:ilvl w:val="0"/>
                <w:numId w:val="4"/>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described the steps of the advance care planning process, such as the 5-step model </w:t>
            </w:r>
          </w:p>
          <w:p w14:paraId="76474479" w14:textId="77777777" w:rsidR="001C5DDD" w:rsidRPr="00676303" w:rsidRDefault="001C5DDD" w:rsidP="005B2359">
            <w:pPr>
              <w:pStyle w:val="ListParagraph"/>
              <w:numPr>
                <w:ilvl w:val="0"/>
                <w:numId w:val="4"/>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recognizes the ethical and legal principles that promotes patient/family involvement in future care planning</w:t>
            </w:r>
          </w:p>
          <w:p w14:paraId="271ADACF" w14:textId="77777777" w:rsidR="001C5DDD" w:rsidRPr="00676303" w:rsidRDefault="001C5DDD" w:rsidP="005B2359">
            <w:pPr>
              <w:pStyle w:val="ListParagraph"/>
              <w:numPr>
                <w:ilvl w:val="0"/>
                <w:numId w:val="4"/>
              </w:numPr>
              <w:spacing w:after="0" w:line="20" w:lineRule="atLeast"/>
              <w:jc w:val="both"/>
              <w:rPr>
                <w:rFonts w:asciiTheme="minorHAnsi" w:hAnsiTheme="minorHAnsi" w:cstheme="minorHAnsi"/>
                <w:color w:val="000000" w:themeColor="text1"/>
                <w:sz w:val="20"/>
                <w:szCs w:val="20"/>
                <w:lang w:val="en-US"/>
              </w:rPr>
            </w:pPr>
            <w:r w:rsidRPr="00676303">
              <w:rPr>
                <w:rFonts w:asciiTheme="minorHAnsi" w:eastAsia="Times New Roman" w:hAnsiTheme="minorHAnsi" w:cstheme="minorHAnsi"/>
                <w:color w:val="000000" w:themeColor="text1"/>
                <w:sz w:val="20"/>
                <w:szCs w:val="20"/>
                <w:lang w:val="en-US" w:eastAsia="en-GB"/>
              </w:rPr>
              <w:t>Explains the concept of futility and gives examples of futile treatments for palliative care patients</w:t>
            </w:r>
          </w:p>
          <w:p w14:paraId="4C48EC9F"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 xml:space="preserve">S - Skills </w:t>
            </w:r>
          </w:p>
          <w:p w14:paraId="24AA7D29" w14:textId="77777777" w:rsidR="001C5DDD" w:rsidRPr="00676303" w:rsidRDefault="001C5DDD" w:rsidP="005B2359">
            <w:pPr>
              <w:pStyle w:val="ListParagraph"/>
              <w:numPr>
                <w:ilvl w:val="0"/>
                <w:numId w:val="5"/>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Demonstrates steps involved in the Advance Care Planning process in a given case</w:t>
            </w:r>
          </w:p>
          <w:p w14:paraId="3B9048DD" w14:textId="77777777" w:rsidR="001C5DDD" w:rsidRPr="00676303" w:rsidRDefault="001C5DDD"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A – Attitudes</w:t>
            </w:r>
          </w:p>
          <w:p w14:paraId="4EBD6088" w14:textId="1050F66A" w:rsidR="001C5DDD" w:rsidRPr="00F014D9" w:rsidRDefault="001C5DDD" w:rsidP="005B2359">
            <w:pPr>
              <w:pStyle w:val="ListParagraph"/>
              <w:numPr>
                <w:ilvl w:val="0"/>
                <w:numId w:val="3"/>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aware of the moral and legal rights of patients (and families) to be fully informed (as required) to participate in decisions regarding future care</w:t>
            </w:r>
            <w:bookmarkStart w:id="0" w:name="_GoBack"/>
            <w:bookmarkEnd w:id="0"/>
          </w:p>
        </w:tc>
      </w:tr>
      <w:tr w:rsidR="001C5DDD" w:rsidRPr="00676303" w14:paraId="4254EC49" w14:textId="77777777" w:rsidTr="005B2359">
        <w:tc>
          <w:tcPr>
            <w:tcW w:w="1696" w:type="dxa"/>
            <w:shd w:val="clear" w:color="auto" w:fill="D9E2F3" w:themeFill="accent1" w:themeFillTint="33"/>
          </w:tcPr>
          <w:p w14:paraId="259B0728" w14:textId="77777777" w:rsidR="001C5DDD" w:rsidRPr="00676303" w:rsidRDefault="001C5DDD" w:rsidP="005B2359">
            <w:pPr>
              <w:spacing w:after="0" w:line="20" w:lineRule="atLeast"/>
              <w:rPr>
                <w:rFonts w:asciiTheme="minorHAnsi" w:hAnsiTheme="minorHAnsi" w:cstheme="minorHAnsi"/>
                <w:b/>
                <w:color w:val="000000" w:themeColor="text1"/>
                <w:sz w:val="20"/>
                <w:szCs w:val="20"/>
                <w:highlight w:val="yellow"/>
                <w:lang w:val="en-US"/>
              </w:rPr>
            </w:pPr>
            <w:r w:rsidRPr="00676303">
              <w:rPr>
                <w:rFonts w:asciiTheme="minorHAnsi" w:hAnsiTheme="minorHAnsi" w:cstheme="minorHAnsi"/>
                <w:b/>
                <w:color w:val="000000" w:themeColor="text1"/>
                <w:sz w:val="20"/>
                <w:szCs w:val="20"/>
                <w:lang w:val="en-US"/>
              </w:rPr>
              <w:t>Learning Methods</w:t>
            </w:r>
          </w:p>
        </w:tc>
        <w:tc>
          <w:tcPr>
            <w:tcW w:w="7513" w:type="dxa"/>
            <w:shd w:val="clear" w:color="auto" w:fill="auto"/>
          </w:tcPr>
          <w:p w14:paraId="476E6099" w14:textId="77777777" w:rsidR="001C5DDD" w:rsidRPr="00676303" w:rsidRDefault="001C5DDD" w:rsidP="005B2359">
            <w:p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0.5 hours online + 0.5 seminar</w:t>
            </w:r>
          </w:p>
          <w:p w14:paraId="707CA9F7" w14:textId="77777777" w:rsidR="001C5DDD" w:rsidRPr="00676303" w:rsidRDefault="001C5DDD"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Self-directed reading</w:t>
            </w:r>
          </w:p>
          <w:p w14:paraId="79916782" w14:textId="77777777" w:rsidR="001C5DDD" w:rsidRPr="00676303" w:rsidRDefault="001C5DDD"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 xml:space="preserve">Role play </w:t>
            </w:r>
          </w:p>
          <w:p w14:paraId="5A3CCCF4" w14:textId="77777777" w:rsidR="001C5DDD" w:rsidRPr="00676303" w:rsidRDefault="001C5DDD"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Scenarios/ Case studies</w:t>
            </w:r>
          </w:p>
          <w:p w14:paraId="698F87AD" w14:textId="77777777" w:rsidR="001C5DDD" w:rsidRPr="00676303" w:rsidRDefault="001C5DDD" w:rsidP="005B2359">
            <w:pPr>
              <w:pStyle w:val="ListParagraph"/>
              <w:numPr>
                <w:ilvl w:val="0"/>
                <w:numId w:val="1"/>
              </w:numPr>
              <w:spacing w:after="0" w:line="20" w:lineRule="atLeast"/>
              <w:rPr>
                <w:rFonts w:asciiTheme="minorHAnsi" w:eastAsiaTheme="minorHAnsi" w:hAnsiTheme="minorHAnsi" w:cstheme="minorHAnsi"/>
                <w:color w:val="000000" w:themeColor="text1"/>
                <w:sz w:val="20"/>
                <w:szCs w:val="20"/>
                <w:lang w:val="en-US"/>
              </w:rPr>
            </w:pPr>
            <w:r w:rsidRPr="00676303">
              <w:rPr>
                <w:rFonts w:asciiTheme="minorHAnsi" w:hAnsiTheme="minorHAnsi" w:cs="Calibri"/>
                <w:color w:val="000000" w:themeColor="text1"/>
                <w:sz w:val="20"/>
                <w:szCs w:val="20"/>
                <w:lang w:val="en-US"/>
              </w:rPr>
              <w:t>Reflection on experience</w:t>
            </w:r>
          </w:p>
        </w:tc>
      </w:tr>
      <w:tr w:rsidR="001C5DDD" w:rsidRPr="00676303" w14:paraId="6EB0F943" w14:textId="77777777" w:rsidTr="005B2359">
        <w:tc>
          <w:tcPr>
            <w:tcW w:w="1696" w:type="dxa"/>
            <w:shd w:val="clear" w:color="auto" w:fill="D9E2F3" w:themeFill="accent1" w:themeFillTint="33"/>
          </w:tcPr>
          <w:p w14:paraId="4EF990B3" w14:textId="77777777" w:rsidR="001C5DDD" w:rsidRPr="00676303" w:rsidRDefault="001C5DDD" w:rsidP="005B2359">
            <w:pPr>
              <w:spacing w:after="0" w:line="20" w:lineRule="atLeast"/>
              <w:rPr>
                <w:rFonts w:asciiTheme="minorHAnsi" w:hAnsiTheme="minorHAnsi" w:cstheme="minorHAnsi"/>
                <w:b/>
                <w:color w:val="000000" w:themeColor="text1"/>
                <w:sz w:val="20"/>
                <w:szCs w:val="20"/>
                <w:highlight w:val="yellow"/>
                <w:lang w:val="en-US"/>
              </w:rPr>
            </w:pPr>
            <w:r w:rsidRPr="00676303">
              <w:rPr>
                <w:rFonts w:asciiTheme="minorHAnsi" w:hAnsiTheme="minorHAnsi" w:cstheme="minorHAnsi"/>
                <w:b/>
                <w:color w:val="000000" w:themeColor="text1"/>
                <w:sz w:val="20"/>
                <w:szCs w:val="20"/>
                <w:lang w:val="en-US"/>
              </w:rPr>
              <w:t xml:space="preserve">Timing </w:t>
            </w:r>
          </w:p>
        </w:tc>
        <w:tc>
          <w:tcPr>
            <w:tcW w:w="7513" w:type="dxa"/>
            <w:shd w:val="clear" w:color="auto" w:fill="auto"/>
          </w:tcPr>
          <w:p w14:paraId="5730F73F" w14:textId="77777777" w:rsidR="001C5DDD" w:rsidRPr="00676303" w:rsidRDefault="001C5DDD" w:rsidP="005B2359">
            <w:p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On-line 0,5h</w:t>
            </w:r>
          </w:p>
          <w:p w14:paraId="0C8A0C06" w14:textId="77777777" w:rsidR="001C5DDD" w:rsidRPr="00676303" w:rsidRDefault="001C5DDD" w:rsidP="005B2359">
            <w:p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Seminar 0,5 h</w:t>
            </w:r>
          </w:p>
          <w:p w14:paraId="26FBF761" w14:textId="2EB1DDCE" w:rsidR="001C5DDD" w:rsidRPr="00676303" w:rsidRDefault="001C5DDD"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 xml:space="preserve"> Role play based on Scenarios/ Case studies 20 min</w:t>
            </w:r>
          </w:p>
          <w:p w14:paraId="2B4E1CBB" w14:textId="77777777" w:rsidR="001C5DDD" w:rsidRPr="00676303" w:rsidRDefault="001C5DDD"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Reflection on experience 10 min</w:t>
            </w:r>
          </w:p>
        </w:tc>
      </w:tr>
      <w:tr w:rsidR="001C5DDD" w:rsidRPr="00676303" w14:paraId="67A16074" w14:textId="77777777" w:rsidTr="005B2359">
        <w:tc>
          <w:tcPr>
            <w:tcW w:w="1696" w:type="dxa"/>
            <w:shd w:val="clear" w:color="auto" w:fill="D9E2F3" w:themeFill="accent1" w:themeFillTint="33"/>
          </w:tcPr>
          <w:p w14:paraId="16577C8C" w14:textId="77777777" w:rsidR="001C5DDD" w:rsidRPr="00676303" w:rsidRDefault="001C5DDD" w:rsidP="005B2359">
            <w:pPr>
              <w:spacing w:after="0" w:line="20" w:lineRule="atLeast"/>
              <w:rPr>
                <w:rFonts w:asciiTheme="minorHAnsi" w:hAnsiTheme="minorHAnsi" w:cstheme="minorHAnsi"/>
                <w:b/>
                <w:color w:val="000000" w:themeColor="text1"/>
                <w:sz w:val="20"/>
                <w:szCs w:val="20"/>
                <w:highlight w:val="yellow"/>
                <w:lang w:val="en-US"/>
              </w:rPr>
            </w:pPr>
            <w:r w:rsidRPr="00676303">
              <w:rPr>
                <w:rFonts w:asciiTheme="minorHAnsi" w:hAnsiTheme="minorHAnsi" w:cstheme="minorHAnsi"/>
                <w:b/>
                <w:color w:val="000000" w:themeColor="text1"/>
                <w:sz w:val="20"/>
                <w:szCs w:val="20"/>
                <w:lang w:val="en-US"/>
              </w:rPr>
              <w:t xml:space="preserve">Bibliography/ Resources </w:t>
            </w:r>
          </w:p>
        </w:tc>
        <w:tc>
          <w:tcPr>
            <w:tcW w:w="7513" w:type="dxa"/>
            <w:shd w:val="clear" w:color="auto" w:fill="auto"/>
          </w:tcPr>
          <w:p w14:paraId="3551CE6B"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Auriemma CL, Nguyen CA, </w:t>
            </w:r>
            <w:proofErr w:type="spellStart"/>
            <w:r w:rsidRPr="00676303">
              <w:rPr>
                <w:rFonts w:asciiTheme="minorHAnsi" w:hAnsiTheme="minorHAnsi" w:cstheme="minorHAnsi"/>
                <w:color w:val="000000" w:themeColor="text1"/>
                <w:sz w:val="20"/>
                <w:szCs w:val="20"/>
                <w:lang w:val="en-US"/>
              </w:rPr>
              <w:t>Bronheim</w:t>
            </w:r>
            <w:proofErr w:type="spellEnd"/>
            <w:r w:rsidRPr="00676303">
              <w:rPr>
                <w:rFonts w:asciiTheme="minorHAnsi" w:hAnsiTheme="minorHAnsi" w:cstheme="minorHAnsi"/>
                <w:color w:val="000000" w:themeColor="text1"/>
                <w:sz w:val="20"/>
                <w:szCs w:val="20"/>
                <w:lang w:val="en-US"/>
              </w:rPr>
              <w:t xml:space="preserve"> R, et al. Stability of end-of-life preferences: a systematic review of the evidence. JAMA Intern Med 2014; 174:1085.</w:t>
            </w:r>
          </w:p>
          <w:p w14:paraId="1E68A442"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Brinkman-</w:t>
            </w:r>
            <w:proofErr w:type="spellStart"/>
            <w:r w:rsidRPr="00676303">
              <w:rPr>
                <w:rFonts w:asciiTheme="minorHAnsi" w:hAnsiTheme="minorHAnsi" w:cstheme="minorHAnsi"/>
                <w:color w:val="000000" w:themeColor="text1"/>
                <w:sz w:val="20"/>
                <w:szCs w:val="20"/>
                <w:lang w:val="en-US"/>
              </w:rPr>
              <w:t>Stoppelenburg</w:t>
            </w:r>
            <w:proofErr w:type="spellEnd"/>
            <w:r w:rsidRPr="00676303">
              <w:rPr>
                <w:rFonts w:asciiTheme="minorHAnsi" w:hAnsiTheme="minorHAnsi" w:cstheme="minorHAnsi"/>
                <w:color w:val="000000" w:themeColor="text1"/>
                <w:sz w:val="20"/>
                <w:szCs w:val="20"/>
                <w:lang w:val="en-US"/>
              </w:rPr>
              <w:t xml:space="preserve"> A, </w:t>
            </w:r>
            <w:proofErr w:type="spellStart"/>
            <w:r w:rsidRPr="00676303">
              <w:rPr>
                <w:rFonts w:asciiTheme="minorHAnsi" w:hAnsiTheme="minorHAnsi" w:cstheme="minorHAnsi"/>
                <w:color w:val="000000" w:themeColor="text1"/>
                <w:sz w:val="20"/>
                <w:szCs w:val="20"/>
                <w:lang w:val="en-US"/>
              </w:rPr>
              <w:t>Rietjens</w:t>
            </w:r>
            <w:proofErr w:type="spellEnd"/>
            <w:r w:rsidRPr="00676303">
              <w:rPr>
                <w:rFonts w:asciiTheme="minorHAnsi" w:hAnsiTheme="minorHAnsi" w:cstheme="minorHAnsi"/>
                <w:color w:val="000000" w:themeColor="text1"/>
                <w:sz w:val="20"/>
                <w:szCs w:val="20"/>
                <w:lang w:val="en-US"/>
              </w:rPr>
              <w:t xml:space="preserve"> JA, van der Heide A. The effects of advance care planning on end-of-life care: a systematic review. </w:t>
            </w:r>
            <w:proofErr w:type="spellStart"/>
            <w:r w:rsidRPr="00676303">
              <w:rPr>
                <w:rFonts w:asciiTheme="minorHAnsi" w:hAnsiTheme="minorHAnsi" w:cstheme="minorHAnsi"/>
                <w:color w:val="000000" w:themeColor="text1"/>
                <w:sz w:val="20"/>
                <w:szCs w:val="20"/>
                <w:lang w:val="en-US"/>
              </w:rPr>
              <w:t>Palliat</w:t>
            </w:r>
            <w:proofErr w:type="spellEnd"/>
            <w:r w:rsidRPr="00676303">
              <w:rPr>
                <w:rFonts w:asciiTheme="minorHAnsi" w:hAnsiTheme="minorHAnsi" w:cstheme="minorHAnsi"/>
                <w:color w:val="000000" w:themeColor="text1"/>
                <w:sz w:val="20"/>
                <w:szCs w:val="20"/>
                <w:lang w:val="en-US"/>
              </w:rPr>
              <w:t xml:space="preserve"> Med 2014; 28:1000.</w:t>
            </w:r>
          </w:p>
          <w:p w14:paraId="2F723319"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Buchanan AE, Brock DW. Deciding for others: The ethics of surrogate decision making, Cambridge University Press, Cambridge 1989.</w:t>
            </w:r>
          </w:p>
          <w:p w14:paraId="4B1F059F"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Davison SN, Simpson C. Hope and advance care planning in patients with end stage renal disease: qualitative interview study. BMJ 2006; 333:886.</w:t>
            </w:r>
          </w:p>
          <w:p w14:paraId="00277FCE"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Evans N, </w:t>
            </w:r>
            <w:proofErr w:type="spellStart"/>
            <w:r w:rsidRPr="00676303">
              <w:rPr>
                <w:rFonts w:asciiTheme="minorHAnsi" w:hAnsiTheme="minorHAnsi" w:cstheme="minorHAnsi"/>
                <w:color w:val="000000" w:themeColor="text1"/>
                <w:sz w:val="20"/>
                <w:szCs w:val="20"/>
                <w:lang w:val="en-US"/>
              </w:rPr>
              <w:t>Bausewein</w:t>
            </w:r>
            <w:proofErr w:type="spellEnd"/>
            <w:r w:rsidRPr="00676303">
              <w:rPr>
                <w:rFonts w:asciiTheme="minorHAnsi" w:hAnsiTheme="minorHAnsi" w:cstheme="minorHAnsi"/>
                <w:color w:val="000000" w:themeColor="text1"/>
                <w:sz w:val="20"/>
                <w:szCs w:val="20"/>
                <w:lang w:val="en-US"/>
              </w:rPr>
              <w:t xml:space="preserve"> C, </w:t>
            </w:r>
            <w:proofErr w:type="spellStart"/>
            <w:r w:rsidRPr="00676303">
              <w:rPr>
                <w:rFonts w:asciiTheme="minorHAnsi" w:hAnsiTheme="minorHAnsi" w:cstheme="minorHAnsi"/>
                <w:color w:val="000000" w:themeColor="text1"/>
                <w:sz w:val="20"/>
                <w:szCs w:val="20"/>
                <w:lang w:val="en-US"/>
              </w:rPr>
              <w:t>Meñaca</w:t>
            </w:r>
            <w:proofErr w:type="spellEnd"/>
            <w:r w:rsidRPr="00676303">
              <w:rPr>
                <w:rFonts w:asciiTheme="minorHAnsi" w:hAnsiTheme="minorHAnsi" w:cstheme="minorHAnsi"/>
                <w:color w:val="000000" w:themeColor="text1"/>
                <w:sz w:val="20"/>
                <w:szCs w:val="20"/>
                <w:lang w:val="en-US"/>
              </w:rPr>
              <w:t xml:space="preserve"> A, et al. A critical review of advance directives in Germany: attitudes, use and healthcare professionals' compliance. Patient </w:t>
            </w:r>
            <w:proofErr w:type="spellStart"/>
            <w:r w:rsidRPr="00676303">
              <w:rPr>
                <w:rFonts w:asciiTheme="minorHAnsi" w:hAnsiTheme="minorHAnsi" w:cstheme="minorHAnsi"/>
                <w:color w:val="000000" w:themeColor="text1"/>
                <w:sz w:val="20"/>
                <w:szCs w:val="20"/>
                <w:lang w:val="en-US"/>
              </w:rPr>
              <w:t>Educ</w:t>
            </w:r>
            <w:proofErr w:type="spellEnd"/>
            <w:r w:rsidRPr="00676303">
              <w:rPr>
                <w:rFonts w:asciiTheme="minorHAnsi" w:hAnsiTheme="minorHAnsi" w:cstheme="minorHAnsi"/>
                <w:color w:val="000000" w:themeColor="text1"/>
                <w:sz w:val="20"/>
                <w:szCs w:val="20"/>
                <w:lang w:val="en-US"/>
              </w:rPr>
              <w:t xml:space="preserve"> </w:t>
            </w:r>
            <w:proofErr w:type="spellStart"/>
            <w:r w:rsidRPr="00676303">
              <w:rPr>
                <w:rFonts w:asciiTheme="minorHAnsi" w:hAnsiTheme="minorHAnsi" w:cstheme="minorHAnsi"/>
                <w:color w:val="000000" w:themeColor="text1"/>
                <w:sz w:val="20"/>
                <w:szCs w:val="20"/>
                <w:lang w:val="en-US"/>
              </w:rPr>
              <w:t>Couns</w:t>
            </w:r>
            <w:proofErr w:type="spellEnd"/>
            <w:r w:rsidRPr="00676303">
              <w:rPr>
                <w:rFonts w:asciiTheme="minorHAnsi" w:hAnsiTheme="minorHAnsi" w:cstheme="minorHAnsi"/>
                <w:color w:val="000000" w:themeColor="text1"/>
                <w:sz w:val="20"/>
                <w:szCs w:val="20"/>
                <w:lang w:val="en-US"/>
              </w:rPr>
              <w:t xml:space="preserve"> 2012; 87:277.</w:t>
            </w:r>
          </w:p>
          <w:p w14:paraId="065EA98D"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lastRenderedPageBreak/>
              <w:t xml:space="preserve">Janssen DJ, </w:t>
            </w:r>
            <w:proofErr w:type="spellStart"/>
            <w:r w:rsidRPr="00676303">
              <w:rPr>
                <w:rFonts w:asciiTheme="minorHAnsi" w:hAnsiTheme="minorHAnsi" w:cstheme="minorHAnsi"/>
                <w:color w:val="000000" w:themeColor="text1"/>
                <w:sz w:val="20"/>
                <w:szCs w:val="20"/>
                <w:lang w:val="en-US"/>
              </w:rPr>
              <w:t>Engelberg</w:t>
            </w:r>
            <w:proofErr w:type="spellEnd"/>
            <w:r w:rsidRPr="00676303">
              <w:rPr>
                <w:rFonts w:asciiTheme="minorHAnsi" w:hAnsiTheme="minorHAnsi" w:cstheme="minorHAnsi"/>
                <w:color w:val="000000" w:themeColor="text1"/>
                <w:sz w:val="20"/>
                <w:szCs w:val="20"/>
                <w:lang w:val="en-US"/>
              </w:rPr>
              <w:t xml:space="preserve"> RA, </w:t>
            </w:r>
            <w:proofErr w:type="spellStart"/>
            <w:r w:rsidRPr="00676303">
              <w:rPr>
                <w:rFonts w:asciiTheme="minorHAnsi" w:hAnsiTheme="minorHAnsi" w:cstheme="minorHAnsi"/>
                <w:color w:val="000000" w:themeColor="text1"/>
                <w:sz w:val="20"/>
                <w:szCs w:val="20"/>
                <w:lang w:val="en-US"/>
              </w:rPr>
              <w:t>Wouters</w:t>
            </w:r>
            <w:proofErr w:type="spellEnd"/>
            <w:r w:rsidRPr="00676303">
              <w:rPr>
                <w:rFonts w:asciiTheme="minorHAnsi" w:hAnsiTheme="minorHAnsi" w:cstheme="minorHAnsi"/>
                <w:color w:val="000000" w:themeColor="text1"/>
                <w:sz w:val="20"/>
                <w:szCs w:val="20"/>
                <w:lang w:val="en-US"/>
              </w:rPr>
              <w:t xml:space="preserve"> EF, Curtis JR. Advance care planning for patients with COPD: past, present and future. Patient </w:t>
            </w:r>
            <w:proofErr w:type="spellStart"/>
            <w:r w:rsidRPr="00676303">
              <w:rPr>
                <w:rFonts w:asciiTheme="minorHAnsi" w:hAnsiTheme="minorHAnsi" w:cstheme="minorHAnsi"/>
                <w:color w:val="000000" w:themeColor="text1"/>
                <w:sz w:val="20"/>
                <w:szCs w:val="20"/>
                <w:lang w:val="en-US"/>
              </w:rPr>
              <w:t>Educ</w:t>
            </w:r>
            <w:proofErr w:type="spellEnd"/>
            <w:r w:rsidRPr="00676303">
              <w:rPr>
                <w:rFonts w:asciiTheme="minorHAnsi" w:hAnsiTheme="minorHAnsi" w:cstheme="minorHAnsi"/>
                <w:color w:val="000000" w:themeColor="text1"/>
                <w:sz w:val="20"/>
                <w:szCs w:val="20"/>
                <w:lang w:val="en-US"/>
              </w:rPr>
              <w:t xml:space="preserve"> </w:t>
            </w:r>
            <w:proofErr w:type="spellStart"/>
            <w:r w:rsidRPr="00676303">
              <w:rPr>
                <w:rFonts w:asciiTheme="minorHAnsi" w:hAnsiTheme="minorHAnsi" w:cstheme="minorHAnsi"/>
                <w:color w:val="000000" w:themeColor="text1"/>
                <w:sz w:val="20"/>
                <w:szCs w:val="20"/>
                <w:lang w:val="en-US"/>
              </w:rPr>
              <w:t>Couns</w:t>
            </w:r>
            <w:proofErr w:type="spellEnd"/>
            <w:r w:rsidRPr="00676303">
              <w:rPr>
                <w:rFonts w:asciiTheme="minorHAnsi" w:hAnsiTheme="minorHAnsi" w:cstheme="minorHAnsi"/>
                <w:color w:val="000000" w:themeColor="text1"/>
                <w:sz w:val="20"/>
                <w:szCs w:val="20"/>
                <w:lang w:val="en-US"/>
              </w:rPr>
              <w:t xml:space="preserve"> 2012; 86:19.</w:t>
            </w:r>
          </w:p>
          <w:p w14:paraId="789B4409"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Johnstone MJ, </w:t>
            </w:r>
            <w:proofErr w:type="spellStart"/>
            <w:r w:rsidRPr="00676303">
              <w:rPr>
                <w:rFonts w:asciiTheme="minorHAnsi" w:hAnsiTheme="minorHAnsi" w:cstheme="minorHAnsi"/>
                <w:color w:val="000000" w:themeColor="text1"/>
                <w:sz w:val="20"/>
                <w:szCs w:val="20"/>
                <w:lang w:val="en-US"/>
              </w:rPr>
              <w:t>Kanitsaki</w:t>
            </w:r>
            <w:proofErr w:type="spellEnd"/>
            <w:r w:rsidRPr="00676303">
              <w:rPr>
                <w:rFonts w:asciiTheme="minorHAnsi" w:hAnsiTheme="minorHAnsi" w:cstheme="minorHAnsi"/>
                <w:color w:val="000000" w:themeColor="text1"/>
                <w:sz w:val="20"/>
                <w:szCs w:val="20"/>
                <w:lang w:val="en-US"/>
              </w:rPr>
              <w:t xml:space="preserve"> O. Ethics and advance care planning in a culturally diverse society. J </w:t>
            </w:r>
            <w:proofErr w:type="spellStart"/>
            <w:r w:rsidRPr="00676303">
              <w:rPr>
                <w:rFonts w:asciiTheme="minorHAnsi" w:hAnsiTheme="minorHAnsi" w:cstheme="minorHAnsi"/>
                <w:color w:val="000000" w:themeColor="text1"/>
                <w:sz w:val="20"/>
                <w:szCs w:val="20"/>
                <w:lang w:val="en-US"/>
              </w:rPr>
              <w:t>Transcult</w:t>
            </w:r>
            <w:proofErr w:type="spellEnd"/>
            <w:r w:rsidRPr="00676303">
              <w:rPr>
                <w:rFonts w:asciiTheme="minorHAnsi" w:hAnsiTheme="minorHAnsi" w:cstheme="minorHAnsi"/>
                <w:color w:val="000000" w:themeColor="text1"/>
                <w:sz w:val="20"/>
                <w:szCs w:val="20"/>
                <w:lang w:val="en-US"/>
              </w:rPr>
              <w:t xml:space="preserve"> </w:t>
            </w:r>
            <w:proofErr w:type="spellStart"/>
            <w:r w:rsidRPr="00676303">
              <w:rPr>
                <w:rFonts w:asciiTheme="minorHAnsi" w:hAnsiTheme="minorHAnsi" w:cstheme="minorHAnsi"/>
                <w:color w:val="000000" w:themeColor="text1"/>
                <w:sz w:val="20"/>
                <w:szCs w:val="20"/>
                <w:lang w:val="en-US"/>
              </w:rPr>
              <w:t>Nurs</w:t>
            </w:r>
            <w:proofErr w:type="spellEnd"/>
            <w:r w:rsidRPr="00676303">
              <w:rPr>
                <w:rFonts w:asciiTheme="minorHAnsi" w:hAnsiTheme="minorHAnsi" w:cstheme="minorHAnsi"/>
                <w:color w:val="000000" w:themeColor="text1"/>
                <w:sz w:val="20"/>
                <w:szCs w:val="20"/>
                <w:lang w:val="en-US"/>
              </w:rPr>
              <w:t xml:space="preserve"> 2009; 20:405.</w:t>
            </w:r>
          </w:p>
          <w:p w14:paraId="778E1639"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proofErr w:type="spellStart"/>
            <w:r w:rsidRPr="00676303">
              <w:rPr>
                <w:rFonts w:asciiTheme="minorHAnsi" w:hAnsiTheme="minorHAnsi" w:cstheme="minorHAnsi"/>
                <w:color w:val="000000" w:themeColor="text1"/>
                <w:sz w:val="20"/>
                <w:szCs w:val="20"/>
                <w:lang w:val="en-US"/>
              </w:rPr>
              <w:t>Messinger</w:t>
            </w:r>
            <w:proofErr w:type="spellEnd"/>
            <w:r w:rsidRPr="00676303">
              <w:rPr>
                <w:rFonts w:asciiTheme="minorHAnsi" w:hAnsiTheme="minorHAnsi" w:cstheme="minorHAnsi"/>
                <w:color w:val="000000" w:themeColor="text1"/>
                <w:sz w:val="20"/>
                <w:szCs w:val="20"/>
                <w:lang w:val="en-US"/>
              </w:rPr>
              <w:t xml:space="preserve">-Rapport BJ, Baum EE, Smith ML. Advance care planning: Beyond the living will. Cleve </w:t>
            </w:r>
            <w:proofErr w:type="spellStart"/>
            <w:r w:rsidRPr="00676303">
              <w:rPr>
                <w:rFonts w:asciiTheme="minorHAnsi" w:hAnsiTheme="minorHAnsi" w:cstheme="minorHAnsi"/>
                <w:color w:val="000000" w:themeColor="text1"/>
                <w:sz w:val="20"/>
                <w:szCs w:val="20"/>
                <w:lang w:val="en-US"/>
              </w:rPr>
              <w:t>Clin</w:t>
            </w:r>
            <w:proofErr w:type="spellEnd"/>
            <w:r w:rsidRPr="00676303">
              <w:rPr>
                <w:rFonts w:asciiTheme="minorHAnsi" w:hAnsiTheme="minorHAnsi" w:cstheme="minorHAnsi"/>
                <w:color w:val="000000" w:themeColor="text1"/>
                <w:sz w:val="20"/>
                <w:szCs w:val="20"/>
                <w:lang w:val="en-US"/>
              </w:rPr>
              <w:t xml:space="preserve"> J Med 2009; 76:276.</w:t>
            </w:r>
          </w:p>
          <w:p w14:paraId="20F773A2"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proofErr w:type="spellStart"/>
            <w:r w:rsidRPr="00676303">
              <w:rPr>
                <w:rFonts w:asciiTheme="minorHAnsi" w:hAnsiTheme="minorHAnsi" w:cstheme="minorHAnsi"/>
                <w:color w:val="000000" w:themeColor="text1"/>
                <w:sz w:val="20"/>
                <w:szCs w:val="20"/>
                <w:lang w:val="en-US"/>
              </w:rPr>
              <w:t>Silveira</w:t>
            </w:r>
            <w:proofErr w:type="spellEnd"/>
            <w:r w:rsidRPr="00676303">
              <w:rPr>
                <w:rFonts w:asciiTheme="minorHAnsi" w:hAnsiTheme="minorHAnsi" w:cstheme="minorHAnsi"/>
                <w:color w:val="000000" w:themeColor="text1"/>
                <w:sz w:val="20"/>
                <w:szCs w:val="20"/>
                <w:lang w:val="en-US"/>
              </w:rPr>
              <w:t xml:space="preserve"> MJ, Kim SY, </w:t>
            </w:r>
            <w:proofErr w:type="spellStart"/>
            <w:r w:rsidRPr="00676303">
              <w:rPr>
                <w:rFonts w:asciiTheme="minorHAnsi" w:hAnsiTheme="minorHAnsi" w:cstheme="minorHAnsi"/>
                <w:color w:val="000000" w:themeColor="text1"/>
                <w:sz w:val="20"/>
                <w:szCs w:val="20"/>
                <w:lang w:val="en-US"/>
              </w:rPr>
              <w:t>Langa</w:t>
            </w:r>
            <w:proofErr w:type="spellEnd"/>
            <w:r w:rsidRPr="00676303">
              <w:rPr>
                <w:rFonts w:asciiTheme="minorHAnsi" w:hAnsiTheme="minorHAnsi" w:cstheme="minorHAnsi"/>
                <w:color w:val="000000" w:themeColor="text1"/>
                <w:sz w:val="20"/>
                <w:szCs w:val="20"/>
                <w:lang w:val="en-US"/>
              </w:rPr>
              <w:t xml:space="preserve"> KM. Advance directives and outcomes of surrogate decision making before death. N </w:t>
            </w:r>
            <w:proofErr w:type="spellStart"/>
            <w:r w:rsidRPr="00676303">
              <w:rPr>
                <w:rFonts w:asciiTheme="minorHAnsi" w:hAnsiTheme="minorHAnsi" w:cstheme="minorHAnsi"/>
                <w:color w:val="000000" w:themeColor="text1"/>
                <w:sz w:val="20"/>
                <w:szCs w:val="20"/>
                <w:lang w:val="en-US"/>
              </w:rPr>
              <w:t>Engl</w:t>
            </w:r>
            <w:proofErr w:type="spellEnd"/>
            <w:r w:rsidRPr="00676303">
              <w:rPr>
                <w:rFonts w:asciiTheme="minorHAnsi" w:hAnsiTheme="minorHAnsi" w:cstheme="minorHAnsi"/>
                <w:color w:val="000000" w:themeColor="text1"/>
                <w:sz w:val="20"/>
                <w:szCs w:val="20"/>
                <w:lang w:val="en-US"/>
              </w:rPr>
              <w:t xml:space="preserve"> J Med 2010; 362:1211.</w:t>
            </w:r>
          </w:p>
          <w:p w14:paraId="501BC91F"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proofErr w:type="spellStart"/>
            <w:r w:rsidRPr="00676303">
              <w:rPr>
                <w:rFonts w:asciiTheme="minorHAnsi" w:hAnsiTheme="minorHAnsi" w:cstheme="minorHAnsi"/>
                <w:color w:val="000000" w:themeColor="text1"/>
                <w:sz w:val="20"/>
                <w:szCs w:val="20"/>
                <w:lang w:val="en-US"/>
              </w:rPr>
              <w:t>Sudore</w:t>
            </w:r>
            <w:proofErr w:type="spellEnd"/>
            <w:r w:rsidRPr="00676303">
              <w:rPr>
                <w:rFonts w:asciiTheme="minorHAnsi" w:hAnsiTheme="minorHAnsi" w:cstheme="minorHAnsi"/>
                <w:color w:val="000000" w:themeColor="text1"/>
                <w:sz w:val="20"/>
                <w:szCs w:val="20"/>
                <w:lang w:val="en-US"/>
              </w:rPr>
              <w:t xml:space="preserve"> RL, Fried TR. Redefining the "planning" in advance care planning: preparing for end-of-life decision making. Ann Intern Med 2010; 153:256.</w:t>
            </w:r>
          </w:p>
          <w:p w14:paraId="54FF77BD" w14:textId="77777777" w:rsidR="001C5DDD" w:rsidRPr="00676303" w:rsidRDefault="001C5DDD"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themeColor="text1"/>
                <w:sz w:val="20"/>
                <w:szCs w:val="20"/>
                <w:lang w:val="en-US"/>
              </w:rPr>
            </w:pPr>
            <w:proofErr w:type="spellStart"/>
            <w:r w:rsidRPr="00676303">
              <w:rPr>
                <w:rFonts w:asciiTheme="minorHAnsi" w:hAnsiTheme="minorHAnsi" w:cstheme="minorHAnsi"/>
                <w:color w:val="000000" w:themeColor="text1"/>
                <w:sz w:val="20"/>
                <w:szCs w:val="20"/>
                <w:lang w:val="en-US"/>
              </w:rPr>
              <w:t>Sudore</w:t>
            </w:r>
            <w:proofErr w:type="spellEnd"/>
            <w:r w:rsidRPr="00676303">
              <w:rPr>
                <w:rFonts w:asciiTheme="minorHAnsi" w:hAnsiTheme="minorHAnsi" w:cstheme="minorHAnsi"/>
                <w:color w:val="000000" w:themeColor="text1"/>
                <w:sz w:val="20"/>
                <w:szCs w:val="20"/>
                <w:lang w:val="en-US"/>
              </w:rPr>
              <w:t xml:space="preserve"> RL, </w:t>
            </w:r>
            <w:proofErr w:type="spellStart"/>
            <w:r w:rsidRPr="00676303">
              <w:rPr>
                <w:rFonts w:asciiTheme="minorHAnsi" w:hAnsiTheme="minorHAnsi" w:cstheme="minorHAnsi"/>
                <w:color w:val="000000" w:themeColor="text1"/>
                <w:sz w:val="20"/>
                <w:szCs w:val="20"/>
                <w:lang w:val="en-US"/>
              </w:rPr>
              <w:t>Lum</w:t>
            </w:r>
            <w:proofErr w:type="spellEnd"/>
            <w:r w:rsidRPr="00676303">
              <w:rPr>
                <w:rFonts w:asciiTheme="minorHAnsi" w:hAnsiTheme="minorHAnsi" w:cstheme="minorHAnsi"/>
                <w:color w:val="000000" w:themeColor="text1"/>
                <w:sz w:val="20"/>
                <w:szCs w:val="20"/>
                <w:lang w:val="en-US"/>
              </w:rPr>
              <w:t xml:space="preserve"> HD, You JJ, et al. Defining Advance Care Planning for Adults: A Consensus Definition </w:t>
            </w:r>
            <w:proofErr w:type="gramStart"/>
            <w:r w:rsidRPr="00676303">
              <w:rPr>
                <w:rFonts w:asciiTheme="minorHAnsi" w:hAnsiTheme="minorHAnsi" w:cstheme="minorHAnsi"/>
                <w:color w:val="000000" w:themeColor="text1"/>
                <w:sz w:val="20"/>
                <w:szCs w:val="20"/>
                <w:lang w:val="en-US"/>
              </w:rPr>
              <w:t>From</w:t>
            </w:r>
            <w:proofErr w:type="gramEnd"/>
            <w:r w:rsidRPr="00676303">
              <w:rPr>
                <w:rFonts w:asciiTheme="minorHAnsi" w:hAnsiTheme="minorHAnsi" w:cstheme="minorHAnsi"/>
                <w:color w:val="000000" w:themeColor="text1"/>
                <w:sz w:val="20"/>
                <w:szCs w:val="20"/>
                <w:lang w:val="en-US"/>
              </w:rPr>
              <w:t xml:space="preserve"> a Multidisciplinary Delphi Panel. J Pain Symptom Manage 2017; 53:821.</w:t>
            </w:r>
          </w:p>
        </w:tc>
      </w:tr>
    </w:tbl>
    <w:p w14:paraId="00F9597E"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F5FC7"/>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8F6D11"/>
    <w:multiLevelType w:val="hybridMultilevel"/>
    <w:tmpl w:val="4394013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71F645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A2876"/>
    <w:multiLevelType w:val="hybridMultilevel"/>
    <w:tmpl w:val="04A8D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D8695D"/>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DDD"/>
    <w:rsid w:val="001C5DDD"/>
    <w:rsid w:val="006F184C"/>
    <w:rsid w:val="00D76F0A"/>
    <w:rsid w:val="00F01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1A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DDD"/>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DDD"/>
    <w:pPr>
      <w:spacing w:after="200" w:line="276" w:lineRule="auto"/>
      <w:ind w:left="720"/>
      <w:contextualSpacing/>
    </w:pPr>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DDD"/>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DDD"/>
    <w:pPr>
      <w:spacing w:after="200" w:line="27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3258</Characters>
  <Application>Microsoft Office Word</Application>
  <DocSecurity>0</DocSecurity>
  <Lines>27</Lines>
  <Paragraphs>7</Paragraphs>
  <ScaleCrop>false</ScaleCrop>
  <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3</cp:revision>
  <dcterms:created xsi:type="dcterms:W3CDTF">2020-02-17T12:04:00Z</dcterms:created>
  <dcterms:modified xsi:type="dcterms:W3CDTF">2020-02-19T14:17:00Z</dcterms:modified>
</cp:coreProperties>
</file>